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pPr>
      <w:r>
        <w:rPr>
          <w:rFonts w:ascii="Times New Roman"/>
        </w:rPr>
        <w:t>ICS</w:t>
      </w:r>
      <w:r>
        <w:rPr>
          <w:rFonts w:hAnsi="黑体"/>
        </w:rPr>
        <w:t> </w:t>
      </w:r>
      <w:bookmarkStart w:id="0" w:name="ICS"/>
      <w:r>
        <w:fldChar w:fldCharType="begin">
          <w:ffData>
            <w:name w:val="ICS"/>
            <w:enabled/>
            <w:calcOnExit w:val="0"/>
            <w:helpText w:type="text" w:val="请输入正确的ICS号："/>
            <w:textInput>
              <w:default w:val="97.140"/>
            </w:textInput>
          </w:ffData>
        </w:fldChar>
      </w:r>
      <w:r>
        <w:instrText xml:space="preserve"> FORMTEXT </w:instrText>
      </w:r>
      <w:r>
        <w:fldChar w:fldCharType="separate"/>
      </w:r>
      <w:r>
        <w:rPr>
          <w:lang/>
        </w:rPr>
        <w:t>97.140</w:t>
      </w:r>
      <w:r>
        <w:fldChar w:fldCharType="end"/>
      </w:r>
      <w:bookmarkEnd w:id="0"/>
    </w:p>
    <w:p>
      <w:pPr>
        <w:pStyle w:val="129"/>
      </w:pPr>
      <w:bookmarkStart w:id="1" w:name="WXFLH"/>
      <w:r>
        <w:fldChar w:fldCharType="begin">
          <w:ffData>
            <w:name w:val="WXFLH"/>
            <w:enabled/>
            <w:calcOnExit w:val="0"/>
            <w:helpText w:type="text" w:val="请输入中国标准文献分类号："/>
            <w:textInput>
              <w:default w:val="CCS Y 80"/>
            </w:textInput>
          </w:ffData>
        </w:fldChar>
      </w:r>
      <w:r>
        <w:instrText xml:space="preserve"> FORMTEXT </w:instrText>
      </w:r>
      <w:r>
        <w:fldChar w:fldCharType="separate"/>
      </w:r>
      <w:r>
        <w:rPr>
          <w:lang/>
        </w:rPr>
        <w:t>CCS Y 80</w:t>
      </w:r>
      <w:r>
        <w:fldChar w:fldCharType="end"/>
      </w:r>
      <w:bookmarkEnd w:id="1"/>
    </w:p>
    <w:p>
      <w:pPr>
        <w:pStyle w:val="72"/>
      </w:pPr>
      <w:r>
        <w:drawing>
          <wp:inline distT="0" distB="0" distL="114300" distR="114300">
            <wp:extent cx="1437640" cy="719455"/>
            <wp:effectExtent l="0" t="0" r="10160" b="4445"/>
            <wp:docPr id="6"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GB"/>
                    <pic:cNvPicPr>
                      <a:picLocks noChangeAspect="1"/>
                    </pic:cNvPicPr>
                  </pic:nvPicPr>
                  <pic:blipFill>
                    <a:blip r:embed="rId8"/>
                    <a:stretch>
                      <a:fillRect/>
                    </a:stretch>
                  </pic:blipFill>
                  <pic:spPr>
                    <a:xfrm>
                      <a:off x="0" y="0"/>
                      <a:ext cx="1437640" cy="719455"/>
                    </a:xfrm>
                    <a:prstGeom prst="rect">
                      <a:avLst/>
                    </a:prstGeom>
                    <a:noFill/>
                    <a:ln>
                      <a:noFill/>
                    </a:ln>
                  </pic:spPr>
                </pic:pic>
              </a:graphicData>
            </a:graphic>
          </wp:inline>
        </w:drawing>
      </w:r>
    </w:p>
    <w:p>
      <w:pPr>
        <w:pStyle w:val="73"/>
      </w:pPr>
      <w:r>
        <w:rPr>
          <w:rFonts w:hint="eastAsia"/>
        </w:rPr>
        <w:t>中华人民共和国国家标准</w:t>
      </w:r>
    </w:p>
    <w:p>
      <w:pPr>
        <w:pStyle w:val="53"/>
      </w:pPr>
      <w:r>
        <w:rPr>
          <w:rFonts w:ascii="Times New Roman"/>
        </w:rPr>
        <w:t xml:space="preserve">GB/T </w:t>
      </w:r>
      <w:bookmarkStart w:id="2" w:name="StdNo1"/>
      <w:r>
        <w:fldChar w:fldCharType="begin">
          <w:ffData>
            <w:name w:val="StdNo1"/>
            <w:enabled/>
            <w:calcOnExit w:val="0"/>
            <w:textInput>
              <w:default w:val="XXXXX"/>
            </w:textInput>
          </w:ffData>
        </w:fldChar>
      </w:r>
      <w:r>
        <w:instrText xml:space="preserve"> FORMTEXT </w:instrText>
      </w:r>
      <w:r>
        <w:fldChar w:fldCharType="separate"/>
      </w:r>
      <w:r>
        <w:rPr>
          <w:lang/>
        </w:rPr>
        <w:t>XXXXX</w:t>
      </w:r>
      <w:r>
        <w:fldChar w:fldCharType="end"/>
      </w:r>
      <w:bookmarkEnd w:id="2"/>
      <w:r>
        <w:t>—</w:t>
      </w:r>
      <w:bookmarkStart w:id="3" w:name="StdNo2"/>
      <w:r>
        <w:fldChar w:fldCharType="begin">
          <w:ffData>
            <w:name w:val="StdNo2"/>
            <w:enabled/>
            <w:calcOnExit w:val="0"/>
            <w:textInput>
              <w:default w:val="XXXX"/>
              <w:maxLength w:val="4"/>
            </w:textInput>
          </w:ffData>
        </w:fldChar>
      </w:r>
      <w:r>
        <w:instrText xml:space="preserve"> FORMTEXT </w:instrText>
      </w:r>
      <w:r>
        <w:fldChar w:fldCharType="separate"/>
      </w:r>
      <w:r>
        <w:rPr>
          <w:lang/>
        </w:rPr>
        <w:t>XXXX</w:t>
      </w:r>
      <w:r>
        <w:fldChar w:fldCharType="end"/>
      </w:r>
      <w:bookmarkEnd w:id="3"/>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Pr>
        <w:tc>
          <w:tcPr>
            <w:tcW w:w="9356" w:type="dxa"/>
            <w:tcBorders>
              <w:top w:val="nil"/>
              <w:left w:val="nil"/>
              <w:bottom w:val="nil"/>
              <w:right w:val="nil"/>
            </w:tcBorders>
            <w:noWrap w:val="0"/>
            <w:vAlign w:val="top"/>
          </w:tcPr>
          <w:p>
            <w:pPr>
              <w:pStyle w:val="82"/>
            </w:pPr>
            <w:bookmarkStart w:id="4" w:name="DT"/>
            <w:r>
              <w:rPr>
                <w:lang/>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D2n1EKqgEA&#10;AGcDAAAOAAAAAAAAAAEAIAAAACUBAABkcnMvZTJvRG9jLnhtbFBLBQYAAAAABgAGAFkBAABBBQAA&#10;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rPr>
                <w:lang/>
              </w:rPr>
              <w:t>     </w:t>
            </w:r>
            <w:r>
              <w:fldChar w:fldCharType="end"/>
            </w:r>
            <w:bookmarkEnd w:id="4"/>
          </w:p>
        </w:tc>
      </w:tr>
    </w:tbl>
    <w:p>
      <w:pPr>
        <w:pStyle w:val="53"/>
      </w:pPr>
    </w:p>
    <w:p>
      <w:pPr>
        <w:pStyle w:val="53"/>
      </w:pPr>
    </w:p>
    <w:p>
      <w:pPr>
        <w:pStyle w:val="84"/>
      </w:pPr>
      <w:bookmarkStart w:id="5" w:name="StdName"/>
      <w:r>
        <w:fldChar w:fldCharType="begin">
          <w:ffData>
            <w:name w:val="StdName"/>
            <w:enabled/>
            <w:calcOnExit w:val="0"/>
            <w:textInput>
              <w:default w:val="智能家具通用技术要求"/>
            </w:textInput>
          </w:ffData>
        </w:fldChar>
      </w:r>
      <w:r>
        <w:instrText xml:space="preserve"> FORMTEXT </w:instrText>
      </w:r>
      <w:r>
        <w:fldChar w:fldCharType="separate"/>
      </w:r>
      <w:r>
        <w:rPr>
          <w:rFonts w:hint="eastAsia"/>
          <w:lang/>
        </w:rPr>
        <w:t>智能家具通用技术要求</w:t>
      </w:r>
      <w:r>
        <w:fldChar w:fldCharType="end"/>
      </w:r>
      <w:bookmarkEnd w:id="5"/>
    </w:p>
    <w:p>
      <w:pPr>
        <w:pStyle w:val="85"/>
      </w:pPr>
      <w:bookmarkStart w:id="6" w:name="StdEnglishName"/>
      <w:r>
        <w:fldChar w:fldCharType="begin">
          <w:ffData>
            <w:name w:val="StdEnglishName"/>
            <w:enabled/>
            <w:calcOnExit w:val="0"/>
            <w:textInput>
              <w:default w:val="General technology requirements for intelligent furniture"/>
            </w:textInput>
          </w:ffData>
        </w:fldChar>
      </w:r>
      <w:r>
        <w:instrText xml:space="preserve"> FORMTEXT </w:instrText>
      </w:r>
      <w:r>
        <w:fldChar w:fldCharType="separate"/>
      </w:r>
      <w:r>
        <w:rPr>
          <w:lang/>
        </w:rPr>
        <w:t>General technology requirements for intelligent furniture</w:t>
      </w:r>
      <w:r>
        <w:fldChar w:fldCharType="end"/>
      </w:r>
      <w:bookmarkEnd w:id="6"/>
    </w:p>
    <w:p>
      <w:pPr>
        <w:pStyle w:val="86"/>
      </w:pPr>
      <w:bookmarkStart w:id="7"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lang/>
        </w:rPr>
        <w:t>点击此处添加与国际标准一致性程度的标识</w:t>
      </w:r>
      <w:r>
        <w:fldChar w:fldCharType="end"/>
      </w:r>
      <w:bookmarkEnd w:id="7"/>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Pr>
        <w:tc>
          <w:tcPr>
            <w:tcW w:w="9855" w:type="dxa"/>
            <w:tcBorders>
              <w:top w:val="nil"/>
              <w:left w:val="nil"/>
              <w:bottom w:val="nil"/>
              <w:right w:val="nil"/>
            </w:tcBorders>
            <w:noWrap w:val="0"/>
            <w:vAlign w:val="top"/>
          </w:tcPr>
          <w:p>
            <w:pPr>
              <w:pStyle w:val="87"/>
            </w:pPr>
            <w:r>
              <w:rPr>
                <w:lang/>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YmuktUAAAAKAQAA&#10;DwAAAAAAAAABACAAAAAiAAAAZHJzL2Rvd25yZXYueG1sUEsBAhQAFAAAAAgAh07iQI1ieZWqAQAA&#10;ZwMAAA4AAAAAAAAAAQAgAAAAJAEAAGRycy9lMm9Eb2MueG1sUEsFBgAAAAAGAAYAWQEAAEAFAAAA&#10;AA==&#10;">
                      <v:fill on="t" focussize="0,0"/>
                      <v:stroke on="f"/>
                      <v:imagedata o:title=""/>
                      <o:lock v:ext="edit" aspectratio="f"/>
                      <w10:anchorlock/>
                    </v:rect>
                  </w:pict>
                </mc:Fallback>
              </mc:AlternateContent>
            </w:r>
            <w:r>
              <w:rPr>
                <w:lang/>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GL5dYAAAAJAQAA&#10;DwAAAAAAAAABACAAAAAiAAAAZHJzL2Rvd25yZXYueG1sUEsBAhQAFAAAAAgAh07iQBXfBLqpAQAA&#10;ZwMAAA4AAAAAAAAAAQAgAAAAJQEAAGRycy9lMm9Eb2MueG1sUEsFBgAAAAAGAAYAWQEAAEAFAAAA&#10;AA==&#10;">
                      <v:fill on="t" focussize="0,0"/>
                      <v:stroke on="f"/>
                      <v:imagedata o:title=""/>
                      <o:lock v:ext="edit" aspectratio="f"/>
                    </v:rec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8" w:name="LB"/>
            <w:r>
              <w:instrText xml:space="preserve"> FORMDROPDOWN </w:instrText>
            </w:r>
            <w:r>
              <w:fldChar w:fldCharType="separate"/>
            </w:r>
            <w:r>
              <w:fldChar w:fldCharType="end"/>
            </w:r>
            <w:bookmarkEnd w:id="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Pr>
        <w:tc>
          <w:tcPr>
            <w:tcW w:w="9855" w:type="dxa"/>
            <w:tcBorders>
              <w:top w:val="nil"/>
              <w:left w:val="nil"/>
              <w:bottom w:val="nil"/>
              <w:right w:val="nil"/>
            </w:tcBorders>
            <w:noWrap w:val="0"/>
            <w:vAlign w:val="top"/>
          </w:tcPr>
          <w:p>
            <w:pPr>
              <w:pStyle w:val="88"/>
            </w:pPr>
            <w:bookmarkStart w:id="9" w:name="WCRQ"/>
            <w:r>
              <w:fldChar w:fldCharType="begin">
                <w:ffData>
                  <w:name w:val="WCRQ"/>
                  <w:enabled/>
                  <w:calcOnExit w:val="0"/>
                  <w:textInput>
                    <w:default w:val="2022年11月29日"/>
                  </w:textInput>
                </w:ffData>
              </w:fldChar>
            </w:r>
            <w:r>
              <w:instrText xml:space="preserve"> FORMTEXT </w:instrText>
            </w:r>
            <w:r>
              <w:fldChar w:fldCharType="separate"/>
            </w:r>
            <w:r>
              <w:rPr>
                <w:rFonts w:hint="eastAsia"/>
                <w:lang/>
              </w:rPr>
              <w:t>2022年11月29日</w:t>
            </w:r>
            <w:r>
              <w:fldChar w:fldCharType="end"/>
            </w:r>
            <w:bookmarkEnd w:id="9"/>
          </w:p>
        </w:tc>
      </w:tr>
    </w:tbl>
    <w:p>
      <w:pPr>
        <w:pStyle w:val="136"/>
      </w:pPr>
      <w:bookmarkStart w:id="10"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    </w:t>
      </w:r>
      <w:r>
        <w:rPr>
          <w:rFonts w:ascii="黑体"/>
        </w:rPr>
        <w:fldChar w:fldCharType="end"/>
      </w:r>
      <w:bookmarkEnd w:id="10"/>
      <w:r>
        <w:t xml:space="preserve"> </w:t>
      </w:r>
      <w:r>
        <w:rPr>
          <w:rFonts w:ascii="黑体"/>
        </w:rPr>
        <w:t>-</w:t>
      </w:r>
      <w:r>
        <w:t xml:space="preserve"> </w:t>
      </w:r>
      <w:bookmarkStart w:id="11" w:name="FM"/>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1"/>
      <w:r>
        <w:t xml:space="preserve"> </w:t>
      </w:r>
      <w:r>
        <w:rPr>
          <w:rFonts w:ascii="黑体"/>
        </w:rPr>
        <w:t>-</w:t>
      </w:r>
      <w:r>
        <w:t xml:space="preserve"> </w:t>
      </w:r>
      <w:bookmarkStart w:id="12"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2"/>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0" r="0" b="0"/>
                <wp:wrapNone/>
                <wp:docPr id="4" name="直线 10"/>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Ce9Agt&#10;5gEAANwDAAAOAAAAAAAAAAEAIAAAACUBAABkcnMvZTJvRG9jLnhtbFBLBQYAAAAABgAGAFkBAAB9&#10;BQAAAAA=&#10;">
                <v:fill on="f" focussize="0,0"/>
                <v:stroke color="#000000" joinstyle="round"/>
                <v:imagedata o:title=""/>
                <o:lock v:ext="edit" aspectratio="f"/>
                <w10:anchorlock/>
              </v:line>
            </w:pict>
          </mc:Fallback>
        </mc:AlternateContent>
      </w:r>
    </w:p>
    <w:p>
      <w:pPr>
        <w:pStyle w:val="137"/>
      </w:pPr>
      <w:bookmarkStart w:id="13"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lang/>
        </w:rPr>
        <w:t>XXXX</w:t>
      </w:r>
      <w:r>
        <w:rPr>
          <w:rFonts w:ascii="黑体"/>
        </w:rPr>
        <w:fldChar w:fldCharType="end"/>
      </w:r>
      <w:bookmarkEnd w:id="13"/>
      <w:r>
        <w:t xml:space="preserve"> </w:t>
      </w:r>
      <w:r>
        <w:rPr>
          <w:rFonts w:ascii="黑体"/>
        </w:rPr>
        <w:t>-</w:t>
      </w:r>
      <w:r>
        <w:t xml:space="preserve"> </w:t>
      </w:r>
      <w:bookmarkStart w:id="14"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4"/>
      <w:r>
        <w:t xml:space="preserve"> </w:t>
      </w:r>
      <w:r>
        <w:rPr>
          <w:rFonts w:ascii="黑体"/>
        </w:rPr>
        <w:t>-</w:t>
      </w:r>
      <w:r>
        <w:t xml:space="preserve"> </w:t>
      </w:r>
      <w:bookmarkStart w:id="15"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5"/>
      <w:r>
        <w:rPr>
          <w:rFonts w:hint="eastAsia"/>
        </w:rPr>
        <w:t>实施</w:t>
      </w:r>
    </w:p>
    <w:p>
      <w:pPr>
        <w:pStyle w:val="80"/>
        <w:framePr w:x="1706" w:y="14746"/>
        <w:ind w:firstLine="1260"/>
        <w:rPr>
          <w:rFonts w:hint="eastAsia"/>
        </w:rPr>
      </w:pPr>
      <w:r>
        <w:rPr>
          <w:lang/>
        </w:rPr>
        <w:drawing>
          <wp:inline distT="0" distB="0" distL="114300" distR="114300">
            <wp:extent cx="3882390" cy="554990"/>
            <wp:effectExtent l="0" t="0" r="0" b="17145"/>
            <wp:docPr id="7"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图片1"/>
                    <pic:cNvPicPr>
                      <a:picLocks noChangeAspect="1"/>
                    </pic:cNvPicPr>
                  </pic:nvPicPr>
                  <pic:blipFill>
                    <a:blip r:embed="rId9"/>
                    <a:stretch>
                      <a:fillRect/>
                    </a:stretch>
                  </pic:blipFill>
                  <pic:spPr>
                    <a:xfrm>
                      <a:off x="0" y="0"/>
                      <a:ext cx="3882390" cy="554990"/>
                    </a:xfrm>
                    <a:prstGeom prst="rect">
                      <a:avLst/>
                    </a:prstGeom>
                    <a:noFill/>
                    <a:ln>
                      <a:noFill/>
                    </a:ln>
                  </pic:spPr>
                </pic:pic>
              </a:graphicData>
            </a:graphic>
          </wp:inline>
        </w:drawing>
      </w:r>
    </w:p>
    <w:p>
      <w:pPr>
        <w:pStyle w:val="80"/>
        <w:framePr w:x="1571" w:y="14656"/>
        <w:jc w:val="left"/>
      </w:pPr>
    </w:p>
    <w:p>
      <w:pPr>
        <w:pStyle w:val="24"/>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5" name="直线 1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QeJf1wAA&#10;AAkBAAAPAAAAAAAAAAEAIAAAACIAAABkcnMvZG93bnJldi54bWxQSwECFAAUAAAACACHTuJA5x4q&#10;/uYBAADcAwAADgAAAAAAAAABACAAAAAmAQAAZHJzL2Uyb0RvYy54bWxQSwUGAAAAAAYABgBZAQAA&#10;fgUAAAAA&#10;">
                <v:fill on="f" focussize="0,0"/>
                <v:stroke color="#000000" joinstyle="round"/>
                <v:imagedata o:title=""/>
                <o:lock v:ext="edit" aspectratio="f"/>
              </v:line>
            </w:pict>
          </mc:Fallback>
        </mc:AlternateContent>
      </w:r>
    </w:p>
    <w:p>
      <w:pPr>
        <w:pStyle w:val="118"/>
        <w:rPr>
          <w:rFonts w:hint="eastAsia"/>
        </w:rPr>
      </w:pPr>
      <w:bookmarkStart w:id="16" w:name="_Toc249505901"/>
      <w:bookmarkStart w:id="17" w:name="_Toc249498790"/>
      <w:bookmarkStart w:id="18" w:name="_Toc249090926"/>
      <w:bookmarkStart w:id="19" w:name="_Toc249091678"/>
      <w:bookmarkStart w:id="20" w:name="_Toc256511087"/>
      <w:bookmarkStart w:id="21" w:name="_Toc249518760"/>
      <w:bookmarkStart w:id="22" w:name="_Toc249060857"/>
      <w:bookmarkStart w:id="23" w:name="_Toc249091657"/>
      <w:bookmarkStart w:id="24" w:name="_Toc249060838"/>
      <w:bookmarkStart w:id="25" w:name="_Toc249060813"/>
      <w:r>
        <w:rPr>
          <w:rFonts w:hint="eastAsia"/>
        </w:rPr>
        <w:t>前</w:t>
      </w:r>
      <w:bookmarkStart w:id="26" w:name="BKQY"/>
      <w:r>
        <w:rPr>
          <w:rFonts w:ascii="Cambria Math" w:hAnsi="Cambria Math" w:cs="Cambria Math"/>
        </w:rPr>
        <w:t>  </w:t>
      </w:r>
      <w:r>
        <w:rPr>
          <w:rFonts w:hint="eastAsia"/>
        </w:rPr>
        <w:t>言</w:t>
      </w:r>
      <w:bookmarkEnd w:id="16"/>
      <w:bookmarkEnd w:id="17"/>
      <w:bookmarkEnd w:id="18"/>
      <w:bookmarkEnd w:id="19"/>
      <w:bookmarkEnd w:id="20"/>
      <w:bookmarkEnd w:id="21"/>
      <w:bookmarkEnd w:id="22"/>
      <w:bookmarkEnd w:id="23"/>
      <w:bookmarkEnd w:id="24"/>
      <w:bookmarkEnd w:id="25"/>
      <w:bookmarkEnd w:id="26"/>
    </w:p>
    <w:p>
      <w:pPr>
        <w:pStyle w:val="24"/>
        <w:rPr>
          <w:rFonts w:hint="eastAsia"/>
        </w:rPr>
      </w:pPr>
      <w:r>
        <w:rPr>
          <w:rFonts w:hint="eastAsia"/>
        </w:rPr>
        <w:t>本文件按照GB/T 1.1—2020《标准化工作导则 第1部分：标准化文件的结构和起草规则》给出的规则起草。</w:t>
      </w:r>
    </w:p>
    <w:p>
      <w:pPr>
        <w:pStyle w:val="24"/>
        <w:rPr>
          <w:rFonts w:hint="eastAsia"/>
        </w:rPr>
      </w:pPr>
      <w:r>
        <w:rPr>
          <w:rFonts w:hint="eastAsia"/>
        </w:rPr>
        <w:t>请注意本文件中的某些内容可能涉及专利。本文件的发布机构不承担识别这些专利的责任。</w:t>
      </w:r>
    </w:p>
    <w:p>
      <w:pPr>
        <w:pStyle w:val="24"/>
        <w:rPr>
          <w:rFonts w:hint="eastAsia" w:hAnsi="宋体"/>
        </w:rPr>
      </w:pPr>
      <w:r>
        <w:rPr>
          <w:rFonts w:hint="eastAsia" w:hAnsi="宋体"/>
        </w:rPr>
        <w:t>本文件由中国轻工业联合会提出。</w:t>
      </w:r>
    </w:p>
    <w:p>
      <w:pPr>
        <w:pStyle w:val="24"/>
        <w:rPr>
          <w:rFonts w:hint="eastAsia" w:hAnsi="宋体"/>
        </w:rPr>
      </w:pPr>
      <w:r>
        <w:rPr>
          <w:rFonts w:hint="eastAsia" w:hAnsi="宋体"/>
        </w:rPr>
        <w:t>本文件由全国家具标准化技术委员会</w:t>
      </w:r>
      <w:r>
        <w:rPr>
          <w:rFonts w:hint="eastAsia" w:ascii="Times New Roman"/>
        </w:rPr>
        <w:t>（</w:t>
      </w:r>
      <w:r>
        <w:rPr>
          <w:rFonts w:ascii="Times New Roman"/>
        </w:rPr>
        <w:t>SAC/TC</w:t>
      </w:r>
      <w:r>
        <w:rPr>
          <w:rFonts w:hint="eastAsia" w:ascii="Times New Roman"/>
        </w:rPr>
        <w:t xml:space="preserve"> </w:t>
      </w:r>
      <w:r>
        <w:rPr>
          <w:rFonts w:ascii="Times New Roman"/>
        </w:rPr>
        <w:t>480</w:t>
      </w:r>
      <w:r>
        <w:rPr>
          <w:rFonts w:hint="eastAsia" w:ascii="Times New Roman"/>
        </w:rPr>
        <w:t>）</w:t>
      </w:r>
      <w:r>
        <w:rPr>
          <w:rFonts w:hint="eastAsia" w:hAnsi="宋体"/>
        </w:rPr>
        <w:t>归口。</w:t>
      </w:r>
    </w:p>
    <w:p>
      <w:pPr>
        <w:pStyle w:val="24"/>
        <w:rPr>
          <w:rFonts w:hint="eastAsia" w:hAnsi="宋体"/>
        </w:rPr>
      </w:pPr>
      <w:r>
        <w:rPr>
          <w:rFonts w:hint="eastAsia" w:hAnsi="宋体"/>
        </w:rPr>
        <w:t>本文件起草单位：</w:t>
      </w:r>
    </w:p>
    <w:p>
      <w:pPr>
        <w:pStyle w:val="24"/>
        <w:rPr>
          <w:rFonts w:hint="eastAsia" w:hAnsi="宋体"/>
        </w:rPr>
      </w:pPr>
      <w:r>
        <w:rPr>
          <w:rFonts w:hint="eastAsia" w:hAnsi="宋体"/>
        </w:rPr>
        <w:t>本文件主要起草人：</w:t>
      </w:r>
    </w:p>
    <w:p>
      <w:pPr>
        <w:pStyle w:val="24"/>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56"/>
        <w:rPr>
          <w:rFonts w:hint="eastAsia"/>
        </w:rPr>
      </w:pPr>
      <w:r>
        <w:rPr>
          <w:rFonts w:hint="eastAsia"/>
        </w:rPr>
        <w:t>智能家具通用技术要求</w:t>
      </w:r>
    </w:p>
    <w:p>
      <w:pPr>
        <w:pStyle w:val="51"/>
        <w:rPr>
          <w:rFonts w:hint="eastAsia"/>
        </w:rPr>
      </w:pPr>
      <w:r>
        <w:rPr>
          <w:rFonts w:hint="eastAsia"/>
        </w:rPr>
        <w:t>范围</w:t>
      </w:r>
    </w:p>
    <w:p>
      <w:pPr>
        <w:pStyle w:val="24"/>
        <w:rPr>
          <w:rFonts w:hint="eastAsia"/>
        </w:rPr>
      </w:pPr>
      <w:r>
        <w:rPr>
          <w:rFonts w:hint="eastAsia"/>
        </w:rPr>
        <w:t>本文件规定了智能家具的产品分类、要求、标志、使用说明、包装、运输和贮存，描述了智能家具产品相应的检验方法。</w:t>
      </w:r>
    </w:p>
    <w:p>
      <w:pPr>
        <w:pStyle w:val="24"/>
        <w:rPr>
          <w:rFonts w:hint="eastAsia"/>
        </w:rPr>
      </w:pPr>
      <w:r>
        <w:rPr>
          <w:rFonts w:hint="eastAsia"/>
        </w:rPr>
        <w:t>本文件适用于室内用智能家具产品的设计、生产加工、质量检验、质量评定。</w:t>
      </w:r>
    </w:p>
    <w:p>
      <w:pPr>
        <w:pStyle w:val="51"/>
        <w:rPr>
          <w:rFonts w:hint="eastAsia"/>
        </w:rPr>
      </w:pPr>
      <w:r>
        <w:rPr>
          <w:rFonts w:hint="eastAsia"/>
        </w:rPr>
        <w:t>规范性引用文件</w:t>
      </w:r>
    </w:p>
    <w:p>
      <w:pPr>
        <w:pStyle w:val="24"/>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rPr>
          <w:rFonts w:hint="eastAsia"/>
        </w:rPr>
      </w:pPr>
      <w:r>
        <w:rPr>
          <w:rFonts w:hint="eastAsia"/>
        </w:rPr>
        <w:t>GB 4343.1 家用电器、电动工具和类似器具的电磁兼容要求 第1部分：发射</w:t>
      </w:r>
    </w:p>
    <w:p>
      <w:pPr>
        <w:pStyle w:val="24"/>
        <w:rPr>
          <w:rFonts w:hint="eastAsia"/>
        </w:rPr>
      </w:pPr>
      <w:r>
        <w:rPr>
          <w:rFonts w:hint="eastAsia"/>
        </w:rPr>
        <w:t>GB/T 4343.2 家用电器、电动工具和类似器具的电磁兼容要求 第2部分：抗扰度</w:t>
      </w:r>
    </w:p>
    <w:p>
      <w:pPr>
        <w:pStyle w:val="24"/>
        <w:rPr>
          <w:rFonts w:hint="eastAsia"/>
        </w:rPr>
      </w:pPr>
      <w:r>
        <w:rPr>
          <w:rFonts w:hint="eastAsia"/>
        </w:rPr>
        <w:t>GB 4706.1—2005 家用和类似用途电器的安全  第1部分：通用要求</w:t>
      </w:r>
    </w:p>
    <w:p>
      <w:pPr>
        <w:pStyle w:val="24"/>
        <w:rPr>
          <w:rFonts w:hint="eastAsia"/>
        </w:rPr>
      </w:pPr>
      <w:r>
        <w:rPr>
          <w:rFonts w:hint="eastAsia"/>
        </w:rPr>
        <w:t>GB 7000.1 灯具 第1部分：一般要求与试验</w:t>
      </w:r>
    </w:p>
    <w:p>
      <w:pPr>
        <w:pStyle w:val="24"/>
        <w:rPr>
          <w:rFonts w:hint="eastAsia"/>
        </w:rPr>
      </w:pPr>
      <w:r>
        <w:rPr>
          <w:rFonts w:hint="eastAsia"/>
        </w:rPr>
        <w:t>GB 8898 音频、视频及类似电子设备 安全要求</w:t>
      </w:r>
    </w:p>
    <w:p>
      <w:pPr>
        <w:pStyle w:val="24"/>
        <w:rPr>
          <w:rFonts w:hint="eastAsia"/>
        </w:rPr>
      </w:pPr>
      <w:r>
        <w:rPr>
          <w:rFonts w:hint="eastAsia"/>
        </w:rPr>
        <w:t>GB 17625.1电磁兼容 限值 谐波电流发射限值(设备每相输入电流≤16A)</w:t>
      </w:r>
    </w:p>
    <w:p>
      <w:pPr>
        <w:pStyle w:val="24"/>
        <w:rPr>
          <w:rFonts w:hint="default" w:hAnsi="Times New Roman" w:eastAsia="宋体" w:cs="Times New Roman"/>
        </w:rPr>
      </w:pPr>
      <w:r>
        <w:rPr>
          <w:rFonts w:hint="eastAsia" w:hAnsi="Times New Roman" w:eastAsia="宋体" w:cs="Times New Roman"/>
        </w:rPr>
        <w:t>GB</w:t>
      </w:r>
      <w:r>
        <w:rPr>
          <w:rFonts w:hint="eastAsia" w:hAnsi="Times New Roman" w:eastAsia="宋体" w:cs="Times New Roman"/>
          <w:lang w:val="en-US" w:eastAsia="zh-CN"/>
        </w:rPr>
        <w:t xml:space="preserve"> 17927.1 </w:t>
      </w:r>
      <w:r>
        <w:rPr>
          <w:rFonts w:hint="eastAsia" w:hAnsi="Times New Roman" w:eastAsia="宋体" w:cs="Times New Roman"/>
        </w:rPr>
        <w:fldChar w:fldCharType="begin"/>
      </w:r>
      <w:r>
        <w:rPr>
          <w:rFonts w:hint="eastAsia" w:hAnsi="Times New Roman" w:eastAsia="宋体" w:cs="Times New Roman"/>
        </w:rPr>
        <w:instrText xml:space="preserve"> HYPERLINK "javascript:void(0)" </w:instrText>
      </w:r>
      <w:r>
        <w:rPr>
          <w:rFonts w:hint="eastAsia" w:hAnsi="Times New Roman" w:eastAsia="宋体" w:cs="Times New Roman"/>
        </w:rPr>
        <w:fldChar w:fldCharType="separate"/>
      </w:r>
      <w:r>
        <w:rPr>
          <w:rFonts w:hint="default" w:hAnsi="Times New Roman" w:eastAsia="宋体" w:cs="Times New Roman"/>
        </w:rPr>
        <w:t>软体家具 床垫和沙发 抗引燃特性的评定 第1部分：阴燃的香烟</w:t>
      </w:r>
      <w:r>
        <w:rPr>
          <w:rFonts w:hint="default" w:hAnsi="Times New Roman" w:eastAsia="宋体" w:cs="Times New Roman"/>
        </w:rPr>
        <w:fldChar w:fldCharType="end"/>
      </w:r>
    </w:p>
    <w:p>
      <w:pPr>
        <w:pStyle w:val="24"/>
        <w:rPr>
          <w:rFonts w:hint="default" w:hAnsi="Times New Roman" w:eastAsia="宋体" w:cs="Times New Roman"/>
        </w:rPr>
      </w:pPr>
      <w:r>
        <w:rPr>
          <w:rFonts w:hint="eastAsia" w:hAnsi="Times New Roman" w:eastAsia="宋体" w:cs="Times New Roman"/>
        </w:rPr>
        <w:t>GB</w:t>
      </w:r>
      <w:r>
        <w:rPr>
          <w:rFonts w:hint="eastAsia" w:hAnsi="Times New Roman" w:eastAsia="宋体" w:cs="Times New Roman"/>
          <w:lang w:val="en-US" w:eastAsia="zh-CN"/>
        </w:rPr>
        <w:t xml:space="preserve"> 17927.2 </w:t>
      </w:r>
      <w:r>
        <w:rPr>
          <w:rFonts w:hint="eastAsia" w:hAnsi="Times New Roman" w:eastAsia="宋体" w:cs="Times New Roman"/>
        </w:rPr>
        <w:fldChar w:fldCharType="begin"/>
      </w:r>
      <w:r>
        <w:rPr>
          <w:rFonts w:hint="eastAsia" w:hAnsi="Times New Roman" w:eastAsia="宋体" w:cs="Times New Roman"/>
        </w:rPr>
        <w:instrText xml:space="preserve"> HYPERLINK "javascript:void(0)" </w:instrText>
      </w:r>
      <w:r>
        <w:rPr>
          <w:rFonts w:hint="eastAsia" w:hAnsi="Times New Roman" w:eastAsia="宋体" w:cs="Times New Roman"/>
        </w:rPr>
        <w:fldChar w:fldCharType="separate"/>
      </w:r>
      <w:r>
        <w:rPr>
          <w:rFonts w:hint="default" w:hAnsi="Times New Roman" w:eastAsia="宋体" w:cs="Times New Roman"/>
        </w:rPr>
        <w:t>软体家具 床垫和沙发 抗引燃特性的评定 第2部分：模拟火柴火焰</w:t>
      </w:r>
      <w:r>
        <w:rPr>
          <w:rFonts w:hint="default" w:hAnsi="Times New Roman" w:eastAsia="宋体" w:cs="Times New Roman"/>
        </w:rPr>
        <w:fldChar w:fldCharType="end"/>
      </w:r>
    </w:p>
    <w:p>
      <w:pPr>
        <w:pStyle w:val="24"/>
        <w:rPr>
          <w:rFonts w:hint="eastAsia"/>
        </w:rPr>
      </w:pPr>
      <w:r>
        <w:rPr>
          <w:rFonts w:hint="eastAsia"/>
        </w:rPr>
        <w:t>GB/T 35273 信息安全技术 个人信息安全规范</w:t>
      </w:r>
    </w:p>
    <w:p>
      <w:pPr>
        <w:pStyle w:val="24"/>
        <w:rPr>
          <w:rFonts w:hint="eastAsia"/>
        </w:rPr>
      </w:pPr>
      <w:r>
        <w:rPr>
          <w:rFonts w:hint="eastAsia"/>
        </w:rPr>
        <w:t>GB/T 36464.2信息技术 智能语音交互系统 第2部分：智能家居</w:t>
      </w:r>
    </w:p>
    <w:p>
      <w:pPr>
        <w:pStyle w:val="24"/>
        <w:rPr>
          <w:rFonts w:hint="eastAsia"/>
        </w:rPr>
      </w:pPr>
      <w:r>
        <w:rPr>
          <w:rFonts w:hint="eastAsia"/>
        </w:rPr>
        <w:t>GB/T 38648 信息安全技术 蓝牙安全指南</w:t>
      </w:r>
    </w:p>
    <w:p>
      <w:pPr>
        <w:pStyle w:val="24"/>
        <w:rPr>
          <w:rFonts w:hint="eastAsia"/>
        </w:rPr>
      </w:pPr>
      <w:r>
        <w:rPr>
          <w:rFonts w:hint="eastAsia"/>
        </w:rPr>
        <w:t>GB/T 41387 信息安全技术 智能家居通用安全规范</w:t>
      </w:r>
    </w:p>
    <w:p>
      <w:pPr>
        <w:pStyle w:val="24"/>
        <w:rPr>
          <w:rFonts w:hint="eastAsia"/>
        </w:rPr>
      </w:pPr>
      <w:r>
        <w:rPr>
          <w:rFonts w:hint="eastAsia"/>
        </w:rPr>
        <w:t>GB</w:t>
      </w:r>
      <w:r>
        <w:rPr>
          <w:rFonts w:hint="eastAsia"/>
          <w:lang w:val="en-US" w:eastAsia="zh-CN"/>
        </w:rPr>
        <w:t>XXXXX-XXXXX</w:t>
      </w:r>
      <w:r>
        <w:rPr>
          <w:rFonts w:hint="eastAsia"/>
        </w:rPr>
        <w:t xml:space="preserve"> 家具中有害物质限量（报批稿）</w:t>
      </w:r>
    </w:p>
    <w:p>
      <w:pPr>
        <w:pStyle w:val="24"/>
        <w:rPr>
          <w:rFonts w:hint="eastAsia"/>
        </w:rPr>
      </w:pPr>
      <w:r>
        <w:rPr>
          <w:rFonts w:hint="eastAsia"/>
        </w:rPr>
        <w:t>GB</w:t>
      </w:r>
      <w:r>
        <w:rPr>
          <w:rFonts w:hint="eastAsia"/>
          <w:lang w:val="en-US" w:eastAsia="zh-CN"/>
        </w:rPr>
        <w:t>XXXXX-XXXXX</w:t>
      </w:r>
      <w:r>
        <w:rPr>
          <w:rFonts w:hint="eastAsia"/>
        </w:rPr>
        <w:t xml:space="preserve"> 家具结构安全技术规范（报批稿）</w:t>
      </w:r>
    </w:p>
    <w:p>
      <w:pPr>
        <w:pStyle w:val="24"/>
        <w:rPr>
          <w:rFonts w:hint="eastAsia" w:hAnsi="Times New Roman" w:eastAsia="宋体" w:cs="Times New Roman"/>
        </w:rPr>
      </w:pPr>
      <w:r>
        <w:rPr>
          <w:rFonts w:hint="eastAsia"/>
        </w:rPr>
        <w:t>IEC 60068—2—75 环境试验 第2-75部分:试验方法—试验Eh：冲击试验</w:t>
      </w:r>
    </w:p>
    <w:p>
      <w:pPr>
        <w:pStyle w:val="24"/>
        <w:rPr>
          <w:rFonts w:hint="eastAsia"/>
        </w:rPr>
      </w:pPr>
      <w:r>
        <w:rPr>
          <w:rFonts w:hint="eastAsia"/>
        </w:rPr>
        <w:t>IEC/TR 62778 应用IEC 62471评估光源和灯具的蓝光危害（Application of IEC 62471 for the assessment of blue light hazard to light sources and luminaires）</w:t>
      </w:r>
    </w:p>
    <w:p>
      <w:pPr>
        <w:pStyle w:val="51"/>
        <w:rPr>
          <w:rFonts w:hint="eastAsia"/>
        </w:rPr>
      </w:pPr>
      <w:r>
        <w:rPr>
          <w:rFonts w:hint="eastAsia"/>
        </w:rPr>
        <w:t>术语和定义</w:t>
      </w:r>
    </w:p>
    <w:p>
      <w:pPr>
        <w:pStyle w:val="24"/>
        <w:rPr>
          <w:rFonts w:hint="eastAsia"/>
        </w:rPr>
      </w:pPr>
      <w:r>
        <w:rPr>
          <w:rFonts w:hint="eastAsia"/>
        </w:rPr>
        <w:t>下列术语和定义适用于本文件。</w:t>
      </w:r>
    </w:p>
    <w:p>
      <w:pPr>
        <w:pStyle w:val="48"/>
        <w:rPr>
          <w:rFonts w:hint="eastAsia"/>
        </w:rPr>
      </w:pPr>
    </w:p>
    <w:p>
      <w:pPr>
        <w:pStyle w:val="48"/>
        <w:numPr>
          <w:ilvl w:val="0"/>
          <w:numId w:val="0"/>
        </w:numPr>
        <w:spacing w:before="0" w:beforeLines="0" w:after="0" w:afterLines="0"/>
        <w:ind w:firstLine="420" w:firstLineChars="200"/>
        <w:rPr>
          <w:rFonts w:hint="eastAsia"/>
        </w:rPr>
      </w:pPr>
      <w:r>
        <w:rPr>
          <w:rFonts w:hint="eastAsia"/>
        </w:rPr>
        <w:t>智能家具  intelligent furniture</w:t>
      </w:r>
    </w:p>
    <w:p>
      <w:pPr>
        <w:pStyle w:val="24"/>
        <w:rPr>
          <w:rFonts w:hint="eastAsia" w:cs="宋体"/>
          <w:color w:val="000000"/>
        </w:rPr>
      </w:pPr>
      <w:r>
        <w:rPr>
          <w:rFonts w:hint="eastAsia" w:cs="宋体"/>
          <w:color w:val="000000"/>
        </w:rPr>
        <w:t>具有智能语言交互、数据采集监测、数据传输储存、基于感知数据的处置调整和远程控制等全部或部分功能的家具。</w:t>
      </w:r>
    </w:p>
    <w:p>
      <w:pPr>
        <w:pStyle w:val="48"/>
        <w:rPr>
          <w:rFonts w:hint="eastAsia"/>
        </w:rPr>
      </w:pPr>
    </w:p>
    <w:p>
      <w:pPr>
        <w:pStyle w:val="48"/>
        <w:numPr>
          <w:ilvl w:val="0"/>
          <w:numId w:val="0"/>
        </w:numPr>
        <w:spacing w:before="0" w:beforeLines="0" w:after="0" w:afterLines="0"/>
        <w:ind w:firstLine="420" w:firstLineChars="200"/>
        <w:rPr>
          <w:rFonts w:hint="eastAsia"/>
        </w:rPr>
      </w:pPr>
      <w:r>
        <w:rPr>
          <w:rFonts w:hint="eastAsia"/>
        </w:rPr>
        <w:t>运行装置  movement installation</w:t>
      </w:r>
    </w:p>
    <w:p>
      <w:pPr>
        <w:pStyle w:val="24"/>
        <w:rPr>
          <w:rFonts w:hint="eastAsia" w:cs="宋体"/>
          <w:color w:val="000000"/>
        </w:rPr>
      </w:pPr>
      <w:r>
        <w:rPr>
          <w:rFonts w:hint="eastAsia" w:cs="宋体"/>
          <w:color w:val="000000"/>
        </w:rPr>
        <w:t>在智能家具中通过机械或机电系统变换空间位置，实现家具功能调节或转换的部件或组件。</w:t>
      </w:r>
    </w:p>
    <w:p>
      <w:pPr>
        <w:pStyle w:val="48"/>
        <w:rPr>
          <w:rFonts w:hint="eastAsia"/>
        </w:rPr>
      </w:pPr>
    </w:p>
    <w:p>
      <w:pPr>
        <w:pStyle w:val="48"/>
        <w:numPr>
          <w:ilvl w:val="0"/>
          <w:numId w:val="0"/>
        </w:numPr>
        <w:spacing w:before="0" w:beforeLines="0" w:after="0" w:afterLines="0"/>
        <w:ind w:firstLine="420" w:firstLineChars="200"/>
        <w:rPr>
          <w:rFonts w:hint="eastAsia"/>
        </w:rPr>
      </w:pPr>
      <w:r>
        <w:rPr>
          <w:rFonts w:hint="eastAsia"/>
        </w:rPr>
        <w:t xml:space="preserve">可调节结构  </w:t>
      </w:r>
      <w:r>
        <w:t>adjustable structure</w:t>
      </w:r>
    </w:p>
    <w:p>
      <w:pPr>
        <w:pStyle w:val="24"/>
        <w:rPr>
          <w:rFonts w:hint="eastAsia" w:cs="宋体"/>
          <w:color w:val="000000"/>
        </w:rPr>
      </w:pPr>
      <w:r>
        <w:rPr>
          <w:rFonts w:hint="eastAsia" w:cs="宋体"/>
          <w:color w:val="000000"/>
        </w:rPr>
        <w:t>根据使用者的使用需求及偏好对智能家具产品功能、状态进行变换的装置。</w:t>
      </w:r>
    </w:p>
    <w:p>
      <w:pPr>
        <w:pStyle w:val="48"/>
        <w:rPr>
          <w:rFonts w:hint="eastAsia"/>
        </w:rPr>
      </w:pPr>
    </w:p>
    <w:p>
      <w:pPr>
        <w:pStyle w:val="48"/>
        <w:numPr>
          <w:ilvl w:val="0"/>
          <w:numId w:val="0"/>
        </w:numPr>
        <w:spacing w:before="0" w:beforeLines="0" w:after="0" w:afterLines="0"/>
        <w:ind w:firstLine="420" w:firstLineChars="200"/>
        <w:rPr>
          <w:rFonts w:hint="eastAsia"/>
        </w:rPr>
      </w:pPr>
      <w:r>
        <w:rPr>
          <w:rFonts w:hint="eastAsia"/>
        </w:rPr>
        <w:t xml:space="preserve">缓冲装置  </w:t>
      </w:r>
      <w:r>
        <w:t>buffer device</w:t>
      </w:r>
    </w:p>
    <w:p>
      <w:pPr>
        <w:pStyle w:val="24"/>
        <w:rPr>
          <w:rFonts w:hint="eastAsia" w:cs="宋体"/>
          <w:color w:val="000000"/>
        </w:rPr>
      </w:pPr>
      <w:r>
        <w:rPr>
          <w:rFonts w:hint="eastAsia" w:cs="宋体"/>
          <w:color w:val="000000"/>
        </w:rPr>
        <w:t>防止家具板件突然关闭或落下的装置。</w:t>
      </w:r>
    </w:p>
    <w:p>
      <w:pPr>
        <w:pStyle w:val="48"/>
        <w:rPr>
          <w:rFonts w:hint="eastAsia"/>
        </w:rPr>
      </w:pPr>
    </w:p>
    <w:p>
      <w:pPr>
        <w:pStyle w:val="48"/>
        <w:numPr>
          <w:ilvl w:val="0"/>
          <w:numId w:val="0"/>
        </w:numPr>
        <w:spacing w:before="0" w:beforeLines="0" w:after="0" w:afterLines="0"/>
        <w:ind w:firstLine="420" w:firstLineChars="200"/>
        <w:rPr>
          <w:rFonts w:hint="eastAsia"/>
        </w:rPr>
      </w:pPr>
      <w:r>
        <w:rPr>
          <w:rFonts w:hint="eastAsia"/>
        </w:rPr>
        <w:t xml:space="preserve">接触区  </w:t>
      </w:r>
      <w:r>
        <w:t>access area</w:t>
      </w:r>
    </w:p>
    <w:p>
      <w:pPr>
        <w:pStyle w:val="24"/>
        <w:rPr>
          <w:rFonts w:hint="eastAsia" w:cs="宋体"/>
          <w:color w:val="000000"/>
        </w:rPr>
      </w:pPr>
      <w:r>
        <w:rPr>
          <w:rFonts w:hint="eastAsia" w:cs="宋体"/>
          <w:color w:val="000000"/>
        </w:rPr>
        <w:t>家具正常使用时可接触到的位置。</w:t>
      </w:r>
    </w:p>
    <w:p>
      <w:pPr>
        <w:pStyle w:val="51"/>
        <w:rPr>
          <w:rFonts w:hint="eastAsia"/>
        </w:rPr>
      </w:pPr>
      <w:r>
        <w:rPr>
          <w:rFonts w:hint="eastAsia"/>
        </w:rPr>
        <w:t>产品分类</w:t>
      </w:r>
    </w:p>
    <w:p>
      <w:pPr>
        <w:pStyle w:val="24"/>
        <w:rPr>
          <w:rFonts w:hint="eastAsia"/>
          <w:color w:val="000000"/>
        </w:rPr>
      </w:pPr>
      <w:r>
        <w:rPr>
          <w:rFonts w:hint="eastAsia"/>
          <w:color w:val="000000"/>
        </w:rPr>
        <w:t>智能家具按使用场所可分为：</w:t>
      </w:r>
    </w:p>
    <w:p>
      <w:pPr>
        <w:pStyle w:val="24"/>
        <w:rPr>
          <w:color w:val="000000"/>
        </w:rPr>
      </w:pPr>
      <w:r>
        <w:rPr>
          <w:rFonts w:hint="eastAsia"/>
          <w:color w:val="000000"/>
        </w:rPr>
        <w:t>a）家用智能家具；</w:t>
      </w:r>
    </w:p>
    <w:p>
      <w:pPr>
        <w:pStyle w:val="24"/>
        <w:rPr>
          <w:rFonts w:hint="eastAsia"/>
          <w:color w:val="000000"/>
        </w:rPr>
      </w:pPr>
      <w:r>
        <w:rPr>
          <w:rFonts w:hint="eastAsia"/>
          <w:color w:val="000000"/>
        </w:rPr>
        <w:t>b）公共场所用智能家具。</w:t>
      </w:r>
    </w:p>
    <w:p>
      <w:pPr>
        <w:pStyle w:val="51"/>
        <w:rPr>
          <w:rFonts w:hint="eastAsia"/>
          <w:color w:val="000000"/>
        </w:rPr>
      </w:pPr>
      <w:r>
        <w:rPr>
          <w:rFonts w:hint="eastAsia"/>
          <w:color w:val="000000"/>
        </w:rPr>
        <w:t>要求</w:t>
      </w:r>
    </w:p>
    <w:p>
      <w:pPr>
        <w:pStyle w:val="48"/>
        <w:jc w:val="both"/>
      </w:pPr>
      <w:r>
        <w:rPr>
          <w:rFonts w:hint="eastAsia"/>
        </w:rPr>
        <w:t>基本要求</w:t>
      </w:r>
    </w:p>
    <w:p>
      <w:pPr>
        <w:pStyle w:val="48"/>
        <w:numPr>
          <w:ilvl w:val="0"/>
          <w:numId w:val="0"/>
        </w:numPr>
        <w:spacing w:before="0" w:beforeLines="0" w:after="0" w:afterLines="0"/>
        <w:ind w:firstLine="420" w:firstLineChars="200"/>
        <w:rPr>
          <w:rFonts w:hint="eastAsia" w:ascii="宋体" w:eastAsia="宋体" w:cs="宋体"/>
          <w:color w:val="000000"/>
        </w:rPr>
      </w:pPr>
      <w:r>
        <w:rPr>
          <w:rFonts w:hint="eastAsia" w:ascii="宋体" w:eastAsia="宋体" w:cs="宋体"/>
          <w:color w:val="000000"/>
        </w:rPr>
        <w:t>智能家具产品的主要尺寸及其偏差、形状和位置公差、材料要求、外观要求、理化性能、卫生安全等指标，应满足对应产品标准的要求（见附录A）。</w:t>
      </w:r>
    </w:p>
    <w:p>
      <w:pPr>
        <w:pStyle w:val="48"/>
        <w:jc w:val="both"/>
      </w:pPr>
      <w:r>
        <w:rPr>
          <w:rFonts w:hint="eastAsia" w:hAnsi="黑体" w:cs="黑体"/>
        </w:rPr>
        <w:t>耐潮湿性能</w:t>
      </w:r>
    </w:p>
    <w:p>
      <w:pPr>
        <w:pStyle w:val="24"/>
        <w:rPr>
          <w:rFonts w:hint="eastAsia"/>
        </w:rPr>
      </w:pPr>
      <w:r>
        <w:rPr>
          <w:rFonts w:hint="eastAsia"/>
        </w:rPr>
        <w:t>厨房、卫生间等涉及用水环境的智能家具，经耐潮湿性能试验后，智能家具各项功能应正常运行。</w:t>
      </w:r>
    </w:p>
    <w:p>
      <w:pPr>
        <w:pStyle w:val="48"/>
        <w:jc w:val="both"/>
      </w:pPr>
      <w:r>
        <w:rPr>
          <w:rFonts w:hint="eastAsia" w:hAnsi="黑体" w:cs="黑体"/>
        </w:rPr>
        <w:t>噪声</w:t>
      </w:r>
    </w:p>
    <w:p>
      <w:pPr>
        <w:pStyle w:val="24"/>
        <w:rPr>
          <w:rFonts w:hint="eastAsia" w:cs="宋体"/>
          <w:color w:val="000000"/>
        </w:rPr>
      </w:pPr>
      <w:r>
        <w:rPr>
          <w:rFonts w:hint="eastAsia" w:cs="宋体"/>
          <w:color w:val="000000"/>
        </w:rPr>
        <w:t>家用智能家具，连续运转过程中噪声限值为35dB（A）；公共场所用智能家具，连续运转时噪声限值为50dB（A）。启动以及调节过程中，噪声限值为55dB（A）。</w:t>
      </w:r>
    </w:p>
    <w:p>
      <w:pPr>
        <w:pStyle w:val="48"/>
        <w:jc w:val="both"/>
      </w:pPr>
      <w:r>
        <w:rPr>
          <w:rFonts w:hint="eastAsia" w:hAnsi="黑体" w:cs="黑体"/>
        </w:rPr>
        <w:t>温度调节</w:t>
      </w:r>
    </w:p>
    <w:p>
      <w:pPr>
        <w:pStyle w:val="24"/>
        <w:rPr>
          <w:rFonts w:hint="eastAsia" w:cs="宋体"/>
          <w:color w:val="000000"/>
        </w:rPr>
      </w:pPr>
      <w:r>
        <w:rPr>
          <w:rFonts w:hint="eastAsia" w:cs="宋体"/>
          <w:color w:val="000000"/>
        </w:rPr>
        <w:t>具有加热功能的智能家具使用时与人体接触的部位，表面最高温升不应超过35K，应同时需有温控装置及高温报警功能。</w:t>
      </w:r>
    </w:p>
    <w:p>
      <w:pPr>
        <w:pStyle w:val="48"/>
        <w:jc w:val="both"/>
      </w:pPr>
      <w:r>
        <w:rPr>
          <w:rFonts w:hint="eastAsia" w:hAnsi="黑体" w:cs="黑体"/>
        </w:rPr>
        <w:t>蓝光危害</w:t>
      </w:r>
    </w:p>
    <w:p>
      <w:pPr>
        <w:pStyle w:val="24"/>
        <w:rPr>
          <w:rFonts w:hint="eastAsia" w:cs="宋体"/>
          <w:color w:val="000000"/>
        </w:rPr>
      </w:pPr>
      <w:r>
        <w:rPr>
          <w:rFonts w:hint="eastAsia" w:cs="宋体"/>
          <w:color w:val="000000"/>
        </w:rPr>
        <w:t>智能家具中照明装置的光源，蓝光危害类别不应超过RG0。</w:t>
      </w:r>
    </w:p>
    <w:p>
      <w:pPr>
        <w:pStyle w:val="48"/>
        <w:jc w:val="both"/>
      </w:pPr>
      <w:r>
        <w:rPr>
          <w:rFonts w:hint="eastAsia"/>
        </w:rPr>
        <w:t>力学性能</w:t>
      </w:r>
    </w:p>
    <w:p>
      <w:pPr>
        <w:pStyle w:val="48"/>
        <w:numPr>
          <w:ilvl w:val="0"/>
          <w:numId w:val="0"/>
        </w:numPr>
        <w:spacing w:before="0" w:beforeLines="0" w:after="0" w:afterLines="0"/>
        <w:ind w:firstLine="420" w:firstLineChars="200"/>
      </w:pPr>
      <w:r>
        <w:rPr>
          <w:rFonts w:hint="eastAsia" w:ascii="宋体" w:eastAsia="宋体" w:cs="宋体"/>
          <w:color w:val="000000"/>
        </w:rPr>
        <w:t>不同类别智能家具产品的强度、稳定性和耐久性应满足相关标准的要求（见附录A）。力学试验后，智能家具产品的电路、组件及各项功能不应损坏。具有可调节结构或运行装置的智能家具，经5000次调节及运行后，其功能应运行正常。</w:t>
      </w:r>
    </w:p>
    <w:p>
      <w:pPr>
        <w:pStyle w:val="48"/>
        <w:jc w:val="both"/>
      </w:pPr>
      <w:r>
        <w:rPr>
          <w:rFonts w:hint="eastAsia"/>
        </w:rPr>
        <w:t>结构</w:t>
      </w:r>
    </w:p>
    <w:p>
      <w:pPr>
        <w:widowControl/>
        <w:numPr>
          <w:ilvl w:val="2"/>
          <w:numId w:val="2"/>
        </w:numPr>
        <w:spacing w:before="50" w:after="50"/>
        <w:jc w:val="left"/>
        <w:outlineLvl w:val="3"/>
        <w:rPr>
          <w:rFonts w:hint="eastAsia" w:ascii="黑体" w:hAnsi="黑体" w:eastAsia="黑体" w:cs="黑体"/>
          <w:kern w:val="0"/>
          <w:szCs w:val="21"/>
        </w:rPr>
      </w:pPr>
      <w:r>
        <w:rPr>
          <w:rFonts w:hint="eastAsia" w:ascii="宋体" w:cs="宋体"/>
          <w:color w:val="000000"/>
        </w:rPr>
        <w:t>智能家具的结构，应符合</w:t>
      </w:r>
      <w:r>
        <w:rPr>
          <w:rFonts w:hint="eastAsia" w:cs="宋体"/>
          <w:color w:val="000000"/>
        </w:rPr>
        <w:t>GBXXXXX—20XX《家具结构安全技术规范》（报批稿）的要求</w:t>
      </w:r>
      <w:r>
        <w:rPr>
          <w:rFonts w:hint="eastAsia" w:ascii="宋体" w:cs="宋体"/>
          <w:color w:val="000000"/>
        </w:rPr>
        <w:t>；</w:t>
      </w:r>
    </w:p>
    <w:p>
      <w:pPr>
        <w:widowControl/>
        <w:numPr>
          <w:ilvl w:val="2"/>
          <w:numId w:val="2"/>
        </w:numPr>
        <w:spacing w:before="50" w:after="50"/>
        <w:jc w:val="left"/>
        <w:outlineLvl w:val="3"/>
        <w:rPr>
          <w:rFonts w:hint="eastAsia" w:ascii="黑体" w:hAnsi="黑体" w:eastAsia="黑体" w:cs="黑体"/>
          <w:kern w:val="0"/>
          <w:szCs w:val="21"/>
        </w:rPr>
      </w:pPr>
      <w:r>
        <w:rPr>
          <w:rFonts w:hint="eastAsia" w:ascii="宋体" w:cs="宋体"/>
          <w:color w:val="000000"/>
        </w:rPr>
        <w:t>电子部件机械强度测试后，不应出现外观或功能的损坏；</w:t>
      </w:r>
    </w:p>
    <w:p>
      <w:pPr>
        <w:widowControl/>
        <w:numPr>
          <w:ilvl w:val="2"/>
          <w:numId w:val="2"/>
        </w:numPr>
        <w:spacing w:before="50" w:after="50"/>
        <w:jc w:val="left"/>
        <w:outlineLvl w:val="3"/>
        <w:rPr>
          <w:rFonts w:hint="eastAsia" w:ascii="黑体" w:hAnsi="黑体" w:eastAsia="黑体" w:cs="黑体"/>
          <w:kern w:val="0"/>
          <w:szCs w:val="21"/>
        </w:rPr>
      </w:pPr>
      <w:r>
        <w:rPr>
          <w:rFonts w:hint="eastAsia" w:ascii="宋体" w:cs="宋体"/>
          <w:color w:val="000000"/>
        </w:rPr>
        <w:t>智能家具的运行装置应操作灵活，运行时动作应平稳无卡顿；具有承托功能的水平面应平行升降，无倾斜或翘曲，可运行区域应有限位装置；</w:t>
      </w:r>
    </w:p>
    <w:p>
      <w:pPr>
        <w:widowControl/>
        <w:numPr>
          <w:ilvl w:val="2"/>
          <w:numId w:val="2"/>
        </w:numPr>
        <w:spacing w:before="50" w:after="50"/>
        <w:jc w:val="left"/>
        <w:outlineLvl w:val="3"/>
        <w:rPr>
          <w:rFonts w:hint="eastAsia" w:ascii="黑体" w:hAnsi="黑体" w:eastAsia="黑体" w:cs="黑体"/>
          <w:kern w:val="0"/>
          <w:szCs w:val="21"/>
        </w:rPr>
      </w:pPr>
      <w:r>
        <w:rPr>
          <w:rFonts w:hint="eastAsia" w:cs="宋体"/>
          <w:color w:val="000000"/>
        </w:rPr>
        <w:t>智</w:t>
      </w:r>
      <w:r>
        <w:rPr>
          <w:rFonts w:hint="eastAsia" w:ascii="宋体" w:cs="宋体"/>
          <w:color w:val="000000"/>
        </w:rPr>
        <w:t>能家具的翻门、翻板应具有缓冲装置</w:t>
      </w:r>
      <w:r>
        <w:rPr>
          <w:rFonts w:hint="eastAsia" w:cs="宋体"/>
          <w:color w:val="000000"/>
        </w:rPr>
        <w:t>；</w:t>
      </w:r>
    </w:p>
    <w:p>
      <w:pPr>
        <w:widowControl/>
        <w:numPr>
          <w:ilvl w:val="2"/>
          <w:numId w:val="2"/>
        </w:numPr>
        <w:spacing w:before="50" w:after="50"/>
        <w:jc w:val="left"/>
        <w:outlineLvl w:val="3"/>
        <w:rPr>
          <w:rFonts w:hint="eastAsia" w:ascii="黑体" w:hAnsi="黑体" w:eastAsia="黑体" w:cs="黑体"/>
          <w:kern w:val="0"/>
          <w:szCs w:val="21"/>
        </w:rPr>
      </w:pPr>
      <w:r>
        <w:rPr>
          <w:rFonts w:hint="eastAsia" w:cs="宋体"/>
          <w:color w:val="000000"/>
        </w:rPr>
        <w:t>智</w:t>
      </w:r>
      <w:r>
        <w:rPr>
          <w:rFonts w:hint="eastAsia" w:ascii="宋体" w:cs="宋体"/>
          <w:color w:val="000000"/>
        </w:rPr>
        <w:t>能家具可运行的机械部件应设有紧急制动开关，紧急情况下可有效制动，在脱机状态或断电时，应停止运动，可通过手动调节到安全状态</w:t>
      </w:r>
      <w:r>
        <w:rPr>
          <w:rFonts w:hint="eastAsia" w:cs="宋体"/>
          <w:color w:val="000000"/>
        </w:rPr>
        <w:t>；</w:t>
      </w:r>
    </w:p>
    <w:p>
      <w:pPr>
        <w:widowControl/>
        <w:numPr>
          <w:ilvl w:val="2"/>
          <w:numId w:val="2"/>
        </w:numPr>
        <w:spacing w:before="50" w:after="50"/>
        <w:jc w:val="left"/>
        <w:outlineLvl w:val="3"/>
        <w:rPr>
          <w:rFonts w:hint="eastAsia" w:ascii="黑体" w:hAnsi="黑体" w:eastAsia="黑体" w:cs="黑体"/>
          <w:kern w:val="0"/>
          <w:szCs w:val="21"/>
        </w:rPr>
      </w:pPr>
      <w:r>
        <w:rPr>
          <w:rFonts w:hint="eastAsia" w:cs="宋体"/>
          <w:color w:val="000000"/>
        </w:rPr>
        <w:t>智</w:t>
      </w:r>
      <w:r>
        <w:rPr>
          <w:rFonts w:hint="eastAsia" w:ascii="宋体" w:cs="宋体"/>
          <w:color w:val="000000"/>
        </w:rPr>
        <w:t>能家具的运行装置应具有安全锁定功能。</w:t>
      </w:r>
    </w:p>
    <w:p>
      <w:pPr>
        <w:pStyle w:val="48"/>
        <w:jc w:val="both"/>
      </w:pPr>
      <w:r>
        <w:rPr>
          <w:rFonts w:hint="eastAsia"/>
        </w:rPr>
        <w:t>有害物质</w:t>
      </w:r>
    </w:p>
    <w:p>
      <w:pPr>
        <w:pStyle w:val="24"/>
        <w:rPr>
          <w:rFonts w:hint="eastAsia" w:cs="宋体"/>
          <w:color w:val="000000"/>
        </w:rPr>
      </w:pPr>
      <w:r>
        <w:rPr>
          <w:rFonts w:hint="eastAsia" w:cs="宋体"/>
          <w:color w:val="000000"/>
        </w:rPr>
        <w:t>智能家具中的有害物质含量应符合GBXXXXX—20XX《家具中有害物质限量》（报批稿）的要求。</w:t>
      </w:r>
    </w:p>
    <w:p>
      <w:pPr>
        <w:pStyle w:val="48"/>
        <w:jc w:val="both"/>
      </w:pPr>
      <w:r>
        <w:rPr>
          <w:rFonts w:hint="eastAsia"/>
        </w:rPr>
        <w:t>辐射</w:t>
      </w:r>
    </w:p>
    <w:p>
      <w:pPr>
        <w:pStyle w:val="24"/>
        <w:rPr>
          <w:rFonts w:hint="eastAsia" w:cs="宋体"/>
          <w:color w:val="000000"/>
        </w:rPr>
      </w:pPr>
      <w:r>
        <w:rPr>
          <w:rFonts w:hint="eastAsia" w:cs="宋体"/>
          <w:color w:val="000000"/>
        </w:rPr>
        <w:t>距离智能家具接触区表面50mm的任何一点上，辐射量率不得超过36 pA/kg（5μsV/h）（0.5mR/h）。</w:t>
      </w:r>
    </w:p>
    <w:p>
      <w:pPr>
        <w:pStyle w:val="48"/>
        <w:jc w:val="both"/>
      </w:pPr>
      <w:r>
        <w:rPr>
          <w:rFonts w:hint="eastAsia"/>
        </w:rPr>
        <w:t>电气</w:t>
      </w:r>
    </w:p>
    <w:p>
      <w:pPr>
        <w:widowControl/>
        <w:numPr>
          <w:ilvl w:val="2"/>
          <w:numId w:val="2"/>
        </w:numPr>
        <w:spacing w:before="50" w:after="50"/>
        <w:jc w:val="left"/>
        <w:outlineLvl w:val="3"/>
        <w:rPr>
          <w:rFonts w:hint="eastAsia" w:ascii="宋体" w:hAnsi="宋体" w:cs="宋体"/>
          <w:kern w:val="0"/>
          <w:szCs w:val="21"/>
        </w:rPr>
      </w:pPr>
      <w:r>
        <w:rPr>
          <w:rFonts w:hint="eastAsia" w:cs="宋体"/>
          <w:color w:val="000000"/>
        </w:rPr>
        <w:t>智能家具中集成或</w:t>
      </w:r>
      <w:r>
        <w:rPr>
          <w:rFonts w:hint="eastAsia" w:cs="宋体"/>
          <w:color w:val="000000"/>
          <w:lang w:val="en-US" w:eastAsia="zh-CN"/>
        </w:rPr>
        <w:t>吧</w:t>
      </w:r>
      <w:r>
        <w:rPr>
          <w:rFonts w:hint="eastAsia" w:cs="宋体"/>
          <w:color w:val="000000"/>
        </w:rPr>
        <w:t>嵌入的灯</w:t>
      </w:r>
      <w:r>
        <w:rPr>
          <w:rFonts w:hint="eastAsia" w:ascii="宋体" w:hAnsi="宋体" w:cs="宋体"/>
          <w:color w:val="000000"/>
        </w:rPr>
        <w:t>具应符合GB 7000.1的要求，音频视频类部件应符合GB 4943.1的要求，其他电器及电子部件应符合GB 4706.1的要求；</w:t>
      </w:r>
    </w:p>
    <w:p>
      <w:pPr>
        <w:widowControl/>
        <w:numPr>
          <w:ilvl w:val="2"/>
          <w:numId w:val="2"/>
        </w:numPr>
        <w:spacing w:before="50" w:after="50"/>
        <w:jc w:val="left"/>
        <w:outlineLvl w:val="3"/>
        <w:rPr>
          <w:rFonts w:hint="eastAsia" w:ascii="黑体" w:hAnsi="黑体" w:eastAsia="黑体" w:cs="黑体"/>
          <w:kern w:val="0"/>
          <w:szCs w:val="21"/>
        </w:rPr>
      </w:pPr>
      <w:r>
        <w:rPr>
          <w:rFonts w:hint="eastAsia" w:cs="宋体"/>
          <w:color w:val="000000"/>
        </w:rPr>
        <w:t>智能家具中使用者可接触部分的电压，不应高于人体安全电压36V（直流或交流有效值），产品应安装漏电保护装置或采用其他等同效果的漏电保护措施；</w:t>
      </w:r>
    </w:p>
    <w:p>
      <w:pPr>
        <w:widowControl/>
        <w:numPr>
          <w:ilvl w:val="2"/>
          <w:numId w:val="2"/>
        </w:numPr>
        <w:spacing w:before="50" w:after="50"/>
        <w:jc w:val="left"/>
        <w:outlineLvl w:val="3"/>
        <w:rPr>
          <w:rFonts w:hint="eastAsia" w:ascii="黑体" w:hAnsi="黑体" w:eastAsia="黑体" w:cs="黑体"/>
          <w:kern w:val="0"/>
          <w:szCs w:val="21"/>
        </w:rPr>
      </w:pPr>
      <w:r>
        <w:rPr>
          <w:rFonts w:hint="eastAsia" w:cs="宋体"/>
          <w:color w:val="000000"/>
        </w:rPr>
        <w:t>智能家具应优化电气线路布置，不应裸露在使用者正常活动范围和预期在正常使用时承受人体压力的位置；</w:t>
      </w:r>
    </w:p>
    <w:p>
      <w:pPr>
        <w:widowControl/>
        <w:numPr>
          <w:ilvl w:val="2"/>
          <w:numId w:val="2"/>
        </w:numPr>
        <w:spacing w:before="50" w:after="50"/>
        <w:jc w:val="left"/>
        <w:outlineLvl w:val="3"/>
        <w:rPr>
          <w:rFonts w:hint="eastAsia" w:ascii="黑体" w:hAnsi="黑体" w:eastAsia="黑体" w:cs="黑体"/>
          <w:kern w:val="0"/>
          <w:szCs w:val="21"/>
        </w:rPr>
      </w:pPr>
      <w:r>
        <w:rPr>
          <w:rFonts w:hint="eastAsia" w:cs="宋体"/>
          <w:color w:val="000000"/>
        </w:rPr>
        <w:t>智能家具产品如使用常规插头、插</w:t>
      </w:r>
      <w:r>
        <w:rPr>
          <w:rFonts w:hint="eastAsia" w:ascii="宋体"/>
        </w:rPr>
        <w:t>座、开关应符合对应产品标准的要求</w:t>
      </w:r>
      <w:r>
        <w:rPr>
          <w:rFonts w:hint="eastAsia" w:cs="宋体"/>
          <w:color w:val="000000"/>
        </w:rPr>
        <w:t>。如配置了智能插座类设备，设备应具有控制关系配置及控制场景配置的能力，当电流大于设定值时，应能自动关闭电源并做出提示；</w:t>
      </w:r>
    </w:p>
    <w:p>
      <w:pPr>
        <w:widowControl/>
        <w:numPr>
          <w:ilvl w:val="2"/>
          <w:numId w:val="2"/>
        </w:numPr>
        <w:spacing w:before="50" w:after="50"/>
        <w:jc w:val="left"/>
        <w:outlineLvl w:val="3"/>
        <w:rPr>
          <w:rFonts w:hint="eastAsia" w:ascii="黑体" w:hAnsi="黑体" w:eastAsia="黑体" w:cs="黑体"/>
          <w:kern w:val="0"/>
          <w:szCs w:val="21"/>
        </w:rPr>
      </w:pPr>
      <w:r>
        <w:rPr>
          <w:rFonts w:hint="eastAsia" w:cs="宋体"/>
          <w:color w:val="000000"/>
        </w:rPr>
        <w:t>采用深插式发射头的遥控器，指向性角度左右偏角</w:t>
      </w:r>
      <w:r>
        <w:rPr>
          <w:rFonts w:hint="eastAsia" w:ascii="宋体" w:hAnsi="宋体" w:cs="宋体"/>
          <w:color w:val="000000"/>
        </w:rPr>
        <w:t>均应≥30°；遥</w:t>
      </w:r>
      <w:r>
        <w:rPr>
          <w:rFonts w:hint="eastAsia" w:cs="宋体"/>
          <w:color w:val="000000"/>
        </w:rPr>
        <w:t>控器中电池弹簧应用圆锥形弹簧，电池装好后应无自动弹起，反装电池时应无导通；</w:t>
      </w:r>
    </w:p>
    <w:p>
      <w:pPr>
        <w:widowControl/>
        <w:numPr>
          <w:ilvl w:val="2"/>
          <w:numId w:val="2"/>
        </w:numPr>
        <w:spacing w:before="50" w:after="50"/>
        <w:jc w:val="left"/>
        <w:outlineLvl w:val="3"/>
        <w:rPr>
          <w:rFonts w:hint="eastAsia" w:ascii="黑体" w:hAnsi="黑体" w:eastAsia="黑体" w:cs="黑体"/>
          <w:kern w:val="0"/>
          <w:szCs w:val="21"/>
        </w:rPr>
      </w:pPr>
      <w:r>
        <w:rPr>
          <w:rFonts w:hint="eastAsia" w:cs="宋体"/>
          <w:color w:val="000000"/>
        </w:rPr>
        <w:t>操作系统应具有童锁和对误操作的保护措施；</w:t>
      </w:r>
    </w:p>
    <w:p>
      <w:pPr>
        <w:widowControl/>
        <w:numPr>
          <w:ilvl w:val="2"/>
          <w:numId w:val="2"/>
        </w:numPr>
        <w:spacing w:before="50" w:after="50"/>
        <w:jc w:val="left"/>
        <w:outlineLvl w:val="3"/>
        <w:rPr>
          <w:rFonts w:hint="eastAsia" w:ascii="黑体" w:hAnsi="黑体" w:eastAsia="黑体" w:cs="黑体"/>
          <w:kern w:val="0"/>
          <w:szCs w:val="21"/>
        </w:rPr>
      </w:pPr>
      <w:r>
        <w:rPr>
          <w:rFonts w:hint="eastAsia" w:cs="宋体"/>
          <w:color w:val="000000"/>
        </w:rPr>
        <w:t>智能家具可在不同使用者不同功能下切换；</w:t>
      </w:r>
    </w:p>
    <w:p>
      <w:pPr>
        <w:widowControl/>
        <w:numPr>
          <w:ilvl w:val="2"/>
          <w:numId w:val="2"/>
        </w:numPr>
        <w:spacing w:before="50" w:after="50"/>
        <w:jc w:val="left"/>
        <w:outlineLvl w:val="3"/>
        <w:rPr>
          <w:rFonts w:hint="eastAsia" w:ascii="黑体" w:hAnsi="黑体" w:eastAsia="黑体" w:cs="黑体"/>
          <w:kern w:val="0"/>
          <w:szCs w:val="21"/>
        </w:rPr>
      </w:pPr>
      <w:r>
        <w:rPr>
          <w:rFonts w:hint="eastAsia" w:cs="宋体"/>
          <w:color w:val="000000"/>
        </w:rPr>
        <w:t>各类物理性接口应使用户能准确的识别并正确完成所需要的连接；</w:t>
      </w:r>
    </w:p>
    <w:p>
      <w:pPr>
        <w:widowControl/>
        <w:numPr>
          <w:ilvl w:val="2"/>
          <w:numId w:val="2"/>
        </w:numPr>
        <w:spacing w:before="50" w:after="50"/>
        <w:jc w:val="left"/>
        <w:outlineLvl w:val="3"/>
        <w:rPr>
          <w:rFonts w:hint="eastAsia" w:ascii="黑体" w:hAnsi="黑体" w:eastAsia="黑体" w:cs="黑体"/>
          <w:kern w:val="0"/>
          <w:szCs w:val="21"/>
        </w:rPr>
      </w:pPr>
      <w:r>
        <w:rPr>
          <w:rFonts w:hint="eastAsia" w:cs="宋体"/>
          <w:color w:val="000000"/>
        </w:rPr>
        <w:t>智能家具中各组件不应在功能彼此相抵触的情况下运行。</w:t>
      </w:r>
    </w:p>
    <w:p>
      <w:pPr>
        <w:pStyle w:val="48"/>
        <w:jc w:val="both"/>
      </w:pPr>
      <w:r>
        <w:rPr>
          <w:rFonts w:hint="eastAsia"/>
        </w:rPr>
        <w:t>信息化</w:t>
      </w:r>
    </w:p>
    <w:p>
      <w:pPr>
        <w:widowControl/>
        <w:numPr>
          <w:ilvl w:val="2"/>
          <w:numId w:val="2"/>
        </w:numPr>
        <w:spacing w:before="50" w:after="50"/>
        <w:jc w:val="left"/>
        <w:outlineLvl w:val="3"/>
        <w:rPr>
          <w:rFonts w:hint="eastAsia" w:ascii="黑体" w:hAnsi="黑体" w:eastAsia="黑体" w:cs="黑体"/>
          <w:kern w:val="0"/>
          <w:szCs w:val="21"/>
        </w:rPr>
      </w:pPr>
      <w:r>
        <w:rPr>
          <w:rFonts w:hint="eastAsia" w:cs="宋体"/>
          <w:color w:val="000000"/>
        </w:rPr>
        <w:t>智能家具产品应符合</w:t>
      </w:r>
      <w:r>
        <w:rPr>
          <w:rFonts w:hint="eastAsia" w:ascii="宋体"/>
        </w:rPr>
        <w:t>GB/T 41387的要求；</w:t>
      </w:r>
    </w:p>
    <w:p>
      <w:pPr>
        <w:widowControl/>
        <w:numPr>
          <w:ilvl w:val="2"/>
          <w:numId w:val="2"/>
        </w:numPr>
        <w:spacing w:before="50" w:after="50"/>
        <w:jc w:val="left"/>
        <w:outlineLvl w:val="3"/>
        <w:rPr>
          <w:rFonts w:hint="eastAsia" w:ascii="黑体" w:hAnsi="黑体" w:eastAsia="黑体" w:cs="黑体"/>
          <w:kern w:val="0"/>
          <w:szCs w:val="21"/>
        </w:rPr>
      </w:pPr>
      <w:r>
        <w:rPr>
          <w:rFonts w:hint="eastAsia" w:ascii="宋体" w:hAnsi="宋体" w:cs="宋体"/>
          <w:color w:val="000000"/>
        </w:rPr>
        <w:t>若有具备蓝牙功能的组件，应符合GB/T 38648的要求。</w:t>
      </w:r>
    </w:p>
    <w:p>
      <w:pPr>
        <w:pStyle w:val="48"/>
        <w:jc w:val="both"/>
      </w:pPr>
      <w:r>
        <w:rPr>
          <w:rFonts w:hint="eastAsia"/>
        </w:rPr>
        <w:t>阻燃性</w:t>
      </w:r>
    </w:p>
    <w:p>
      <w:pPr>
        <w:pStyle w:val="24"/>
      </w:pPr>
      <w:r>
        <w:rPr>
          <w:rFonts w:hint="eastAsia" w:cs="宋体"/>
          <w:color w:val="000000"/>
        </w:rPr>
        <w:t xml:space="preserve">家用智能软体家具的阻燃性应符合GB </w:t>
      </w:r>
      <w:r>
        <w:rPr>
          <w:rFonts w:hint="eastAsia" w:cs="宋体"/>
          <w:color w:val="000000"/>
          <w:lang w:val="en-US" w:eastAsia="zh-CN"/>
        </w:rPr>
        <w:t>17927.1</w:t>
      </w:r>
      <w:r>
        <w:rPr>
          <w:rFonts w:hint="eastAsia" w:hAnsi="宋体" w:cs="宋体"/>
          <w:color w:val="000000"/>
        </w:rPr>
        <w:t>的要求，公共场所用智能软体家具的阻燃性</w:t>
      </w:r>
      <w:r>
        <w:rPr>
          <w:rFonts w:hint="eastAsia" w:cs="宋体"/>
          <w:color w:val="000000"/>
        </w:rPr>
        <w:t xml:space="preserve">应符合GB </w:t>
      </w:r>
      <w:r>
        <w:rPr>
          <w:rFonts w:hint="eastAsia" w:cs="宋体"/>
          <w:color w:val="000000"/>
          <w:lang w:val="en-US" w:eastAsia="zh-CN"/>
        </w:rPr>
        <w:t>17927.2</w:t>
      </w:r>
      <w:r>
        <w:rPr>
          <w:rFonts w:hint="eastAsia" w:hAnsi="宋体" w:cs="宋体"/>
          <w:color w:val="000000"/>
        </w:rPr>
        <w:t>的要求，其他</w:t>
      </w:r>
      <w:r>
        <w:rPr>
          <w:rFonts w:hint="eastAsia" w:cs="宋体"/>
          <w:color w:val="000000"/>
        </w:rPr>
        <w:t>类型智能家具及组件的阻燃性由供需双方在合同中约定。公共场所的界定参照附录B。</w:t>
      </w:r>
    </w:p>
    <w:p>
      <w:pPr>
        <w:pStyle w:val="48"/>
        <w:jc w:val="both"/>
      </w:pPr>
      <w:r>
        <w:rPr>
          <w:rFonts w:hint="eastAsia"/>
        </w:rPr>
        <w:t>电磁兼容</w:t>
      </w:r>
    </w:p>
    <w:p>
      <w:pPr>
        <w:pStyle w:val="24"/>
        <w:rPr>
          <w:rFonts w:hint="eastAsia" w:cs="宋体"/>
          <w:color w:val="000000"/>
        </w:rPr>
      </w:pPr>
      <w:r>
        <w:rPr>
          <w:rFonts w:hint="eastAsia" w:cs="宋体"/>
          <w:color w:val="000000"/>
        </w:rPr>
        <w:t>符合GB 4343.1、GB/T 4343.2和</w:t>
      </w:r>
      <w:r>
        <w:rPr>
          <w:rFonts w:cs="宋体"/>
          <w:color w:val="000000"/>
        </w:rPr>
        <w:t>GB 17625.1</w:t>
      </w:r>
      <w:r>
        <w:rPr>
          <w:rFonts w:hint="eastAsia" w:cs="宋体"/>
          <w:color w:val="000000"/>
        </w:rPr>
        <w:t>适用范围的智能家具，电磁兼容性应符合GB 4343.1、GB/T 4343.2和</w:t>
      </w:r>
      <w:r>
        <w:rPr>
          <w:rFonts w:cs="宋体"/>
          <w:color w:val="000000"/>
        </w:rPr>
        <w:t>GB 17625.1</w:t>
      </w:r>
      <w:r>
        <w:rPr>
          <w:rFonts w:hint="eastAsia" w:cs="宋体"/>
          <w:color w:val="000000"/>
        </w:rPr>
        <w:t>的规定。</w:t>
      </w:r>
    </w:p>
    <w:p>
      <w:pPr>
        <w:pStyle w:val="48"/>
      </w:pPr>
      <w:r>
        <w:rPr>
          <w:rFonts w:hint="eastAsia"/>
        </w:rPr>
        <w:t>通讯信号</w:t>
      </w:r>
    </w:p>
    <w:p>
      <w:pPr>
        <w:widowControl/>
        <w:numPr>
          <w:ilvl w:val="2"/>
          <w:numId w:val="2"/>
        </w:numPr>
        <w:spacing w:before="50" w:after="50"/>
        <w:jc w:val="left"/>
        <w:outlineLvl w:val="3"/>
        <w:rPr>
          <w:rFonts w:hint="eastAsia" w:ascii="黑体" w:hAnsi="黑体" w:eastAsia="黑体" w:cs="黑体"/>
          <w:kern w:val="0"/>
          <w:szCs w:val="21"/>
        </w:rPr>
      </w:pPr>
      <w:r>
        <w:rPr>
          <w:rFonts w:hint="eastAsia" w:cs="宋体"/>
          <w:color w:val="000000"/>
        </w:rPr>
        <w:t>若有微功率短距离无线电组件，应满足符合《中华人民共和国工业和信息化部公告 2019 年第52号》的要求。</w:t>
      </w:r>
    </w:p>
    <w:p>
      <w:pPr>
        <w:widowControl/>
        <w:numPr>
          <w:ilvl w:val="2"/>
          <w:numId w:val="2"/>
        </w:numPr>
        <w:spacing w:before="50" w:after="50"/>
        <w:jc w:val="left"/>
        <w:outlineLvl w:val="3"/>
        <w:rPr>
          <w:rFonts w:hint="eastAsia" w:ascii="黑体" w:hAnsi="黑体" w:eastAsia="黑体" w:cs="黑体"/>
          <w:kern w:val="0"/>
          <w:szCs w:val="21"/>
        </w:rPr>
      </w:pPr>
      <w:r>
        <w:rPr>
          <w:rFonts w:hint="eastAsia" w:cs="宋体"/>
          <w:color w:val="000000"/>
        </w:rPr>
        <w:t>具有智能语音功能的智能家具，语音系统应符</w:t>
      </w:r>
      <w:r>
        <w:rPr>
          <w:rFonts w:hint="eastAsia" w:ascii="宋体" w:hAnsi="宋体" w:cs="宋体"/>
          <w:color w:val="000000"/>
        </w:rPr>
        <w:t>合</w:t>
      </w:r>
      <w:r>
        <w:rPr>
          <w:rFonts w:ascii="宋体" w:hAnsi="宋体" w:cs="宋体"/>
          <w:color w:val="000000"/>
        </w:rPr>
        <w:t>GB/T 36464.2的要</w:t>
      </w:r>
      <w:r>
        <w:rPr>
          <w:rFonts w:cs="宋体"/>
          <w:color w:val="000000"/>
        </w:rPr>
        <w:t>求</w:t>
      </w:r>
      <w:r>
        <w:rPr>
          <w:rFonts w:hint="eastAsia" w:cs="宋体"/>
          <w:color w:val="000000"/>
        </w:rPr>
        <w:t>。</w:t>
      </w:r>
    </w:p>
    <w:p>
      <w:pPr>
        <w:pStyle w:val="48"/>
      </w:pPr>
      <w:r>
        <w:rPr>
          <w:rFonts w:hint="eastAsia"/>
        </w:rPr>
        <w:t>标志及使用说明</w:t>
      </w:r>
    </w:p>
    <w:p>
      <w:pPr>
        <w:widowControl/>
        <w:numPr>
          <w:ilvl w:val="2"/>
          <w:numId w:val="2"/>
        </w:numPr>
        <w:spacing w:before="50" w:after="50"/>
        <w:jc w:val="left"/>
        <w:outlineLvl w:val="3"/>
        <w:rPr>
          <w:rFonts w:hint="eastAsia" w:ascii="黑体" w:hAnsi="黑体" w:eastAsia="黑体" w:cs="黑体"/>
          <w:kern w:val="0"/>
          <w:szCs w:val="21"/>
        </w:rPr>
      </w:pPr>
      <w:r>
        <w:rPr>
          <w:rFonts w:hint="eastAsia" w:cs="宋体"/>
          <w:color w:val="000000"/>
        </w:rPr>
        <w:t>产品的标志及使用说明，应符合7.1、7.2的要求。</w:t>
      </w:r>
    </w:p>
    <w:p>
      <w:pPr>
        <w:widowControl/>
        <w:numPr>
          <w:ilvl w:val="2"/>
          <w:numId w:val="2"/>
        </w:numPr>
        <w:spacing w:before="50" w:after="50"/>
        <w:jc w:val="left"/>
        <w:outlineLvl w:val="3"/>
        <w:rPr>
          <w:rFonts w:hint="eastAsia" w:ascii="黑体" w:hAnsi="黑体" w:eastAsia="黑体" w:cs="黑体"/>
          <w:kern w:val="0"/>
          <w:szCs w:val="21"/>
        </w:rPr>
      </w:pPr>
      <w:r>
        <w:rPr>
          <w:rFonts w:hint="eastAsia" w:cs="宋体"/>
          <w:color w:val="000000"/>
        </w:rPr>
        <w:t>标志为“智能”类的家具产品，应执行本文件的规定。</w:t>
      </w:r>
    </w:p>
    <w:p>
      <w:pPr>
        <w:pStyle w:val="51"/>
        <w:rPr>
          <w:rFonts w:hint="eastAsia"/>
          <w:color w:val="000000"/>
        </w:rPr>
      </w:pPr>
      <w:r>
        <w:rPr>
          <w:rFonts w:hint="eastAsia"/>
          <w:color w:val="000000"/>
        </w:rPr>
        <w:t>检验方法</w:t>
      </w:r>
    </w:p>
    <w:p>
      <w:pPr>
        <w:pStyle w:val="48"/>
        <w:rPr>
          <w:rFonts w:hint="eastAsia"/>
        </w:rPr>
      </w:pPr>
      <w:r>
        <w:rPr>
          <w:rFonts w:hint="eastAsia"/>
        </w:rPr>
        <w:t>基本要求</w:t>
      </w:r>
    </w:p>
    <w:p>
      <w:pPr>
        <w:pStyle w:val="24"/>
        <w:rPr>
          <w:rFonts w:hint="eastAsia"/>
          <w:color w:val="000000"/>
        </w:rPr>
      </w:pPr>
      <w:r>
        <w:rPr>
          <w:rFonts w:hint="eastAsia"/>
          <w:color w:val="000000"/>
        </w:rPr>
        <w:t>智能家具产品的尺寸、材料、外观、理化性能、卫生安全等指标，按照对应产品标准的规定进行。</w:t>
      </w:r>
    </w:p>
    <w:p>
      <w:pPr>
        <w:pStyle w:val="48"/>
        <w:rPr>
          <w:rFonts w:hint="eastAsia"/>
        </w:rPr>
      </w:pPr>
      <w:r>
        <w:rPr>
          <w:rFonts w:hint="eastAsia" w:hAnsi="黑体" w:cs="黑体"/>
        </w:rPr>
        <w:t>耐潮湿性能</w:t>
      </w:r>
    </w:p>
    <w:p>
      <w:pPr>
        <w:pStyle w:val="24"/>
        <w:rPr>
          <w:rFonts w:hint="eastAsia"/>
          <w:color w:val="000000"/>
        </w:rPr>
      </w:pPr>
      <w:r>
        <w:rPr>
          <w:rFonts w:hint="eastAsia"/>
          <w:color w:val="000000"/>
        </w:rPr>
        <w:t>将智能家具整体置于恒温恒湿试验舱内，温度达到（30±5）℃后，保持1h后开始加湿，使相对湿度达到85</w:t>
      </w:r>
      <w:r>
        <w:rPr>
          <w:rFonts w:ascii="Times New Roman"/>
          <w:color w:val="000000"/>
        </w:rPr>
        <w:t>~</w:t>
      </w:r>
      <w:r>
        <w:rPr>
          <w:rFonts w:hint="eastAsia"/>
          <w:color w:val="000000"/>
        </w:rPr>
        <w:t>95%，保持48h，再置于室温恢复2h后，检查智能家具各项功能是否正常运行。</w:t>
      </w:r>
    </w:p>
    <w:p>
      <w:pPr>
        <w:pStyle w:val="48"/>
        <w:rPr>
          <w:rFonts w:hint="eastAsia"/>
        </w:rPr>
      </w:pPr>
      <w:r>
        <w:rPr>
          <w:rFonts w:hint="eastAsia" w:hAnsi="黑体" w:cs="黑体"/>
        </w:rPr>
        <w:t>噪声</w:t>
      </w:r>
    </w:p>
    <w:p>
      <w:pPr>
        <w:pStyle w:val="24"/>
        <w:rPr>
          <w:rFonts w:hint="eastAsia"/>
          <w:color w:val="000000"/>
        </w:rPr>
      </w:pPr>
      <w:r>
        <w:rPr>
          <w:rFonts w:hint="eastAsia"/>
          <w:color w:val="000000"/>
        </w:rPr>
        <w:t>测试需在安静的房间中进行，测试室任何部位的吸声系数均不大于0.2，环境噪声低于6dB。被测试家具安置在测试房间的地面上，测试中任何墙面或顶棚与被测试家具的最小距离为1m。声级计距离被测家具测试面距离为1m，使用声级计测量设备启动、功能转换及平稳运行后前、后、左、右及上端的噪声。</w:t>
      </w:r>
    </w:p>
    <w:p>
      <w:pPr>
        <w:pStyle w:val="48"/>
        <w:rPr>
          <w:rFonts w:hint="eastAsia"/>
        </w:rPr>
      </w:pPr>
      <w:r>
        <w:rPr>
          <w:rFonts w:hint="eastAsia" w:hAnsi="黑体" w:cs="黑体"/>
        </w:rPr>
        <w:t>温度调节</w:t>
      </w:r>
    </w:p>
    <w:p>
      <w:pPr>
        <w:pStyle w:val="24"/>
        <w:rPr>
          <w:rFonts w:hint="eastAsia"/>
          <w:color w:val="000000"/>
        </w:rPr>
      </w:pPr>
      <w:r>
        <w:rPr>
          <w:rFonts w:hint="eastAsia"/>
          <w:color w:val="000000"/>
        </w:rPr>
        <w:t>在正常工作条件下，当达到稳定状态时，通过测量温升来检验是否合格。</w:t>
      </w:r>
    </w:p>
    <w:p>
      <w:pPr>
        <w:pStyle w:val="24"/>
        <w:rPr>
          <w:rFonts w:hint="eastAsia"/>
          <w:color w:val="000000"/>
        </w:rPr>
      </w:pPr>
      <w:r>
        <w:rPr>
          <w:rFonts w:hint="eastAsia"/>
          <w:color w:val="000000"/>
        </w:rPr>
        <w:t>在常温下，将智能家具的加热功能调节至最高温度设置，连续运行1小时。使用热电偶选取发热面中间及四周共5个点位，各点位温度减去室温为温升值。温升以K表示，精确到1K。</w:t>
      </w:r>
    </w:p>
    <w:p>
      <w:pPr>
        <w:pStyle w:val="24"/>
        <w:rPr>
          <w:rFonts w:hint="eastAsia"/>
          <w:color w:val="000000"/>
        </w:rPr>
      </w:pPr>
      <w:r>
        <w:rPr>
          <w:rFonts w:hint="eastAsia"/>
          <w:color w:val="000000"/>
        </w:rPr>
        <w:t>以温升最高值作为试验结果。</w:t>
      </w:r>
    </w:p>
    <w:p>
      <w:pPr>
        <w:pStyle w:val="48"/>
        <w:rPr>
          <w:rFonts w:hint="eastAsia"/>
        </w:rPr>
      </w:pPr>
      <w:r>
        <w:rPr>
          <w:rFonts w:hint="eastAsia" w:hAnsi="黑体" w:cs="黑体"/>
        </w:rPr>
        <w:t>蓝光危害</w:t>
      </w:r>
    </w:p>
    <w:p>
      <w:pPr>
        <w:pStyle w:val="24"/>
        <w:rPr>
          <w:rFonts w:hint="eastAsia"/>
          <w:color w:val="000000"/>
        </w:rPr>
      </w:pPr>
      <w:r>
        <w:rPr>
          <w:rFonts w:hint="eastAsia"/>
          <w:color w:val="000000"/>
        </w:rPr>
        <w:t>将可发光部件从智能家具产品中取出，</w:t>
      </w:r>
      <w:r>
        <w:rPr>
          <w:rFonts w:hint="eastAsia" w:cs="宋体"/>
          <w:color w:val="000000"/>
        </w:rPr>
        <w:t>按照IEC/TR 62778进行评估</w:t>
      </w:r>
      <w:r>
        <w:rPr>
          <w:rFonts w:hint="eastAsia"/>
          <w:color w:val="000000"/>
        </w:rPr>
        <w:t>。需测试蓝光危害的光源包括但不限于</w:t>
      </w:r>
      <w:r>
        <w:rPr>
          <w:rFonts w:hint="eastAsia" w:cs="宋体"/>
          <w:color w:val="000000"/>
        </w:rPr>
        <w:t>LED、金属卤化物灯和特殊卤钨灯。</w:t>
      </w:r>
    </w:p>
    <w:p>
      <w:pPr>
        <w:pStyle w:val="48"/>
        <w:rPr>
          <w:rFonts w:hint="eastAsia"/>
        </w:rPr>
      </w:pPr>
      <w:r>
        <w:rPr>
          <w:rFonts w:hint="eastAsia"/>
        </w:rPr>
        <w:t>力学性能</w:t>
      </w:r>
    </w:p>
    <w:p>
      <w:pPr>
        <w:pStyle w:val="24"/>
        <w:rPr>
          <w:color w:val="000000"/>
        </w:rPr>
      </w:pPr>
      <w:r>
        <w:rPr>
          <w:rFonts w:hint="eastAsia"/>
          <w:color w:val="000000"/>
        </w:rPr>
        <w:t>力学性能按照对应产品标准的规定进行。具有运行装置的智能家具，重复操作运行装置的调节过程，次数为5000次，之后检测产品的功能是否正常。</w:t>
      </w:r>
    </w:p>
    <w:p>
      <w:pPr>
        <w:pStyle w:val="48"/>
        <w:rPr>
          <w:rFonts w:hint="eastAsia"/>
        </w:rPr>
      </w:pPr>
      <w:r>
        <w:rPr>
          <w:rFonts w:hint="eastAsia"/>
        </w:rPr>
        <w:t>结构</w:t>
      </w:r>
    </w:p>
    <w:p>
      <w:pPr>
        <w:widowControl/>
        <w:numPr>
          <w:ilvl w:val="2"/>
          <w:numId w:val="2"/>
        </w:numPr>
        <w:spacing w:before="50" w:after="50"/>
        <w:jc w:val="left"/>
        <w:outlineLvl w:val="3"/>
        <w:rPr>
          <w:rFonts w:hint="eastAsia" w:ascii="黑体" w:hAnsi="黑体" w:eastAsia="黑体" w:cs="黑体"/>
          <w:kern w:val="0"/>
          <w:szCs w:val="21"/>
        </w:rPr>
      </w:pPr>
      <w:r>
        <w:rPr>
          <w:rFonts w:hint="eastAsia" w:ascii="宋体" w:hAnsi="宋体" w:cs="宋体"/>
          <w:color w:val="000000"/>
          <w:lang w:val="en-US" w:eastAsia="zh-CN"/>
        </w:rPr>
        <w:t>智能家具的结构测试，依据</w:t>
      </w:r>
      <w:r>
        <w:rPr>
          <w:rFonts w:hint="eastAsia" w:ascii="宋体" w:hAnsi="宋体" w:cs="宋体"/>
          <w:color w:val="000000"/>
        </w:rPr>
        <w:t>GBXXXXX—20XX《家具结</w:t>
      </w:r>
      <w:r>
        <w:rPr>
          <w:rFonts w:hint="eastAsia" w:cs="宋体"/>
          <w:color w:val="000000"/>
        </w:rPr>
        <w:t>构安全技术规范》（报批稿）的规定进行。</w:t>
      </w:r>
    </w:p>
    <w:p>
      <w:pPr>
        <w:widowControl/>
        <w:numPr>
          <w:ilvl w:val="2"/>
          <w:numId w:val="2"/>
        </w:numPr>
        <w:spacing w:before="50" w:after="50"/>
        <w:jc w:val="left"/>
        <w:outlineLvl w:val="3"/>
        <w:rPr>
          <w:rFonts w:hint="eastAsia" w:ascii="黑体" w:hAnsi="黑体" w:eastAsia="黑体" w:cs="黑体"/>
          <w:kern w:val="0"/>
          <w:szCs w:val="21"/>
        </w:rPr>
      </w:pPr>
      <w:r>
        <w:rPr>
          <w:rFonts w:hint="eastAsia" w:cs="宋体"/>
          <w:color w:val="000000"/>
        </w:rPr>
        <w:t>电子部件的机械强度</w:t>
      </w:r>
      <w:r>
        <w:rPr>
          <w:rFonts w:hint="eastAsia" w:cs="宋体"/>
          <w:color w:val="000000"/>
          <w:lang w:val="en-US" w:eastAsia="zh-CN"/>
        </w:rPr>
        <w:t>测试，</w:t>
      </w:r>
      <w:r>
        <w:rPr>
          <w:rFonts w:hint="eastAsia" w:ascii="宋体" w:hAnsi="宋体" w:cs="宋体"/>
          <w:color w:val="000000"/>
        </w:rPr>
        <w:t>依据 IEC 60068-2-75的Ehb</w:t>
      </w:r>
      <w:r>
        <w:rPr>
          <w:rFonts w:hint="eastAsia" w:cs="宋体"/>
          <w:color w:val="000000"/>
        </w:rPr>
        <w:t>用弹簧冲击器</w:t>
      </w:r>
      <w:r>
        <w:rPr>
          <w:rFonts w:hint="eastAsia" w:ascii="宋体" w:hAnsi="宋体" w:cs="宋体"/>
          <w:color w:val="000000"/>
        </w:rPr>
        <w:t>对器具进行</w:t>
      </w:r>
      <w:r>
        <w:rPr>
          <w:rFonts w:hint="eastAsia" w:cs="宋体"/>
          <w:color w:val="000000"/>
        </w:rPr>
        <w:t>冲击试验，确定其是否合格。在电子部件外壳、手柄、旋钮等每一个可能的薄弱点上</w:t>
      </w:r>
      <w:r>
        <w:rPr>
          <w:rFonts w:hint="eastAsia" w:ascii="宋体" w:hAnsi="宋体" w:cs="宋体"/>
          <w:color w:val="000000"/>
        </w:rPr>
        <w:t>用0.5J</w:t>
      </w:r>
      <w:r>
        <w:rPr>
          <w:rFonts w:hint="eastAsia" w:cs="宋体"/>
          <w:color w:val="000000"/>
        </w:rPr>
        <w:t>的冲击能量冲</w:t>
      </w:r>
      <w:r>
        <w:rPr>
          <w:rFonts w:hint="eastAsia" w:ascii="宋体" w:hAnsi="宋体" w:cs="宋体"/>
          <w:color w:val="000000"/>
        </w:rPr>
        <w:t>击3次</w:t>
      </w:r>
      <w:r>
        <w:rPr>
          <w:rFonts w:hint="eastAsia" w:cs="宋体"/>
          <w:color w:val="000000"/>
        </w:rPr>
        <w:t>。</w:t>
      </w:r>
    </w:p>
    <w:p>
      <w:pPr>
        <w:widowControl/>
        <w:numPr>
          <w:ilvl w:val="2"/>
          <w:numId w:val="2"/>
        </w:numPr>
        <w:spacing w:before="50" w:after="50"/>
        <w:jc w:val="left"/>
        <w:outlineLvl w:val="3"/>
        <w:rPr>
          <w:rFonts w:hint="eastAsia" w:ascii="黑体" w:hAnsi="黑体" w:eastAsia="黑体" w:cs="黑体"/>
          <w:kern w:val="0"/>
          <w:szCs w:val="21"/>
        </w:rPr>
      </w:pPr>
      <w:r>
        <w:rPr>
          <w:rFonts w:hint="eastAsia" w:cs="宋体"/>
          <w:color w:val="000000"/>
        </w:rPr>
        <w:t>其他要求</w:t>
      </w:r>
      <w:r>
        <w:rPr>
          <w:rFonts w:hint="eastAsia" w:ascii="宋体" w:hAnsi="宋体" w:cs="宋体"/>
          <w:color w:val="000000"/>
        </w:rPr>
        <w:t>按5.7.3至5.7.6的规定进行，由3名检验人员对产品进行操作，判断产品运作是否平稳，动作是否灵活，无非预期动作、</w:t>
      </w:r>
      <w:r>
        <w:rPr>
          <w:rFonts w:hint="eastAsia"/>
          <w:color w:val="000000"/>
        </w:rPr>
        <w:t>在紧急状态下的反馈动作是否具有安全保护效果，</w:t>
      </w:r>
      <w:r>
        <w:rPr>
          <w:rFonts w:hint="eastAsia" w:ascii="宋体" w:hAnsi="宋体" w:cs="宋体"/>
          <w:color w:val="000000"/>
        </w:rPr>
        <w:t>以多数人员判断结论为准。</w:t>
      </w:r>
    </w:p>
    <w:p>
      <w:pPr>
        <w:pStyle w:val="48"/>
        <w:rPr>
          <w:rFonts w:hint="eastAsia"/>
        </w:rPr>
      </w:pPr>
      <w:r>
        <w:rPr>
          <w:rFonts w:hint="eastAsia"/>
        </w:rPr>
        <w:t>有害物质</w:t>
      </w:r>
    </w:p>
    <w:p>
      <w:pPr>
        <w:pStyle w:val="24"/>
        <w:rPr>
          <w:rFonts w:hint="eastAsia"/>
          <w:color w:val="000000"/>
        </w:rPr>
      </w:pPr>
      <w:r>
        <w:rPr>
          <w:rFonts w:hint="eastAsia"/>
          <w:color w:val="000000"/>
        </w:rPr>
        <w:t>按GBXXXXX—20XX《家具中有害物质限量》（报批稿）的规定进行。</w:t>
      </w:r>
    </w:p>
    <w:p>
      <w:pPr>
        <w:pStyle w:val="48"/>
        <w:rPr>
          <w:rFonts w:hint="eastAsia"/>
        </w:rPr>
      </w:pPr>
      <w:r>
        <w:rPr>
          <w:rFonts w:hint="eastAsia"/>
        </w:rPr>
        <w:t>辐射</w:t>
      </w:r>
    </w:p>
    <w:p>
      <w:pPr>
        <w:pStyle w:val="24"/>
        <w:rPr>
          <w:rFonts w:hint="eastAsia" w:cs="宋体"/>
          <w:color w:val="000000"/>
        </w:rPr>
      </w:pPr>
      <w:r>
        <w:rPr>
          <w:rFonts w:hint="eastAsia" w:cs="宋体"/>
          <w:color w:val="000000"/>
        </w:rPr>
        <w:t>使用电离室型的、有效面积为1000mm</w:t>
      </w:r>
      <w:r>
        <w:rPr>
          <w:rFonts w:hint="eastAsia" w:cs="宋体"/>
          <w:color w:val="000000"/>
          <w:vertAlign w:val="superscript"/>
        </w:rPr>
        <w:t>2</w:t>
      </w:r>
      <w:r>
        <w:rPr>
          <w:rFonts w:hint="eastAsia" w:cs="宋体"/>
          <w:color w:val="000000"/>
        </w:rPr>
        <w:t>的辐射探测器，或使用能给出相同结果的其他类型的测量设备来测定辐射量。测量时，被试家具应当在最不利的电源电压下工作，而且使设备保持在正常使用的状态下，调节家具功能，使之产生最大的辐射量。</w:t>
      </w:r>
    </w:p>
    <w:p>
      <w:pPr>
        <w:pStyle w:val="48"/>
        <w:rPr>
          <w:rFonts w:hint="eastAsia"/>
        </w:rPr>
      </w:pPr>
      <w:r>
        <w:rPr>
          <w:rFonts w:hint="eastAsia"/>
        </w:rPr>
        <w:t>电气</w:t>
      </w:r>
    </w:p>
    <w:p>
      <w:pPr>
        <w:widowControl/>
        <w:numPr>
          <w:ilvl w:val="2"/>
          <w:numId w:val="2"/>
        </w:numPr>
        <w:spacing w:before="50" w:after="50"/>
        <w:jc w:val="left"/>
        <w:outlineLvl w:val="3"/>
        <w:rPr>
          <w:rFonts w:hint="eastAsia" w:ascii="黑体" w:hAnsi="黑体" w:eastAsia="黑体" w:cs="黑体"/>
          <w:kern w:val="0"/>
          <w:szCs w:val="21"/>
        </w:rPr>
      </w:pPr>
      <w:r>
        <w:rPr>
          <w:rFonts w:hint="eastAsia" w:ascii="宋体" w:hAnsi="宋体" w:cs="宋体"/>
          <w:color w:val="000000"/>
        </w:rPr>
        <w:t>常规插头、插座、开关按</w:t>
      </w:r>
      <w:r>
        <w:rPr>
          <w:rFonts w:hint="eastAsia" w:ascii="宋体"/>
        </w:rPr>
        <w:t>照对应产品标准的</w:t>
      </w:r>
      <w:r>
        <w:rPr>
          <w:rFonts w:hint="eastAsia" w:ascii="宋体" w:hAnsi="宋体" w:cs="宋体"/>
          <w:color w:val="000000"/>
        </w:rPr>
        <w:t>规定进行。</w:t>
      </w:r>
    </w:p>
    <w:p>
      <w:pPr>
        <w:widowControl/>
        <w:numPr>
          <w:ilvl w:val="2"/>
          <w:numId w:val="2"/>
        </w:numPr>
        <w:spacing w:before="50" w:after="50"/>
        <w:jc w:val="left"/>
        <w:outlineLvl w:val="3"/>
        <w:rPr>
          <w:rFonts w:hint="eastAsia" w:ascii="黑体" w:hAnsi="黑体" w:eastAsia="黑体" w:cs="黑体"/>
          <w:kern w:val="0"/>
          <w:szCs w:val="21"/>
        </w:rPr>
      </w:pPr>
      <w:r>
        <w:rPr>
          <w:rFonts w:hint="eastAsia" w:ascii="宋体" w:hAnsi="宋体" w:cs="宋体"/>
          <w:color w:val="000000"/>
        </w:rPr>
        <w:t>遥控器的检测：将遥控器分别向左和向右偏离接收器30°进行遥控操作，检查遥控动作是否运行正常；安装电池，检查各零部件是否结合严密，遥控器是否正常工作。反装电池，检查是否导通。</w:t>
      </w:r>
    </w:p>
    <w:p>
      <w:pPr>
        <w:widowControl/>
        <w:numPr>
          <w:ilvl w:val="2"/>
          <w:numId w:val="2"/>
        </w:numPr>
        <w:spacing w:before="50" w:after="50"/>
        <w:jc w:val="left"/>
        <w:outlineLvl w:val="3"/>
        <w:rPr>
          <w:rFonts w:hint="eastAsia" w:ascii="黑体" w:hAnsi="黑体" w:eastAsia="黑体" w:cs="黑体"/>
          <w:kern w:val="0"/>
          <w:szCs w:val="21"/>
        </w:rPr>
      </w:pPr>
      <w:r>
        <w:rPr>
          <w:rFonts w:hint="eastAsia" w:cs="宋体"/>
          <w:color w:val="000000"/>
        </w:rPr>
        <w:t>其他要求</w:t>
      </w:r>
      <w:r>
        <w:rPr>
          <w:rFonts w:hint="eastAsia" w:ascii="宋体" w:hAnsi="宋体" w:cs="宋体"/>
          <w:color w:val="000000"/>
        </w:rPr>
        <w:t>按5.10、GB 7000.1、GB 8898、GB 4706.1的规定进行。</w:t>
      </w:r>
    </w:p>
    <w:p>
      <w:pPr>
        <w:pStyle w:val="48"/>
        <w:rPr>
          <w:rFonts w:hint="eastAsia"/>
        </w:rPr>
      </w:pPr>
      <w:r>
        <w:rPr>
          <w:rFonts w:hint="eastAsia"/>
        </w:rPr>
        <w:t>信息化</w:t>
      </w:r>
    </w:p>
    <w:p>
      <w:pPr>
        <w:pStyle w:val="24"/>
        <w:rPr>
          <w:rFonts w:hint="eastAsia"/>
          <w:color w:val="000000"/>
        </w:rPr>
      </w:pPr>
      <w:r>
        <w:rPr>
          <w:rFonts w:hint="eastAsia"/>
          <w:color w:val="000000"/>
        </w:rPr>
        <w:t>智能家具智能化部件及芯片的物理安全按</w:t>
      </w:r>
      <w:r>
        <w:rPr>
          <w:rFonts w:hint="eastAsia" w:cs="宋体"/>
          <w:color w:val="000000"/>
        </w:rPr>
        <w:t>GB/T 41387-2022</w:t>
      </w:r>
      <w:r>
        <w:rPr>
          <w:rFonts w:hint="eastAsia"/>
          <w:color w:val="000000"/>
        </w:rPr>
        <w:t>的规定进行；信息安全及隐私，按GB/T 35273的规定进行评估；检测用于互联的各类物理性接口，是否能准确识别并正确完成所需要的连接。</w:t>
      </w:r>
    </w:p>
    <w:p>
      <w:pPr>
        <w:pStyle w:val="48"/>
        <w:rPr>
          <w:rFonts w:hint="eastAsia"/>
        </w:rPr>
      </w:pPr>
      <w:r>
        <w:rPr>
          <w:rFonts w:hint="eastAsia"/>
          <w:lang w:val="en-US" w:eastAsia="zh-CN"/>
        </w:rPr>
        <w:t>阻燃性</w:t>
      </w:r>
    </w:p>
    <w:p>
      <w:pPr>
        <w:pStyle w:val="24"/>
        <w:rPr>
          <w:rFonts w:hint="eastAsia"/>
          <w:color w:val="000000"/>
        </w:rPr>
      </w:pPr>
      <w:r>
        <w:rPr>
          <w:rFonts w:hint="eastAsia" w:cs="宋体"/>
          <w:color w:val="000000"/>
        </w:rPr>
        <w:t>家用智能家具（软体家具）的阻燃性按GB</w:t>
      </w:r>
      <w:r>
        <w:rPr>
          <w:rFonts w:hint="eastAsia" w:cs="宋体"/>
          <w:color w:val="000000"/>
          <w:lang w:val="en-US" w:eastAsia="zh-CN"/>
        </w:rPr>
        <w:t xml:space="preserve"> 17927.1</w:t>
      </w:r>
      <w:r>
        <w:rPr>
          <w:rFonts w:hint="eastAsia" w:hAnsi="宋体" w:cs="宋体"/>
          <w:color w:val="000000"/>
        </w:rPr>
        <w:t>的规定进行，公共场所用智能家具（软体家具）的阻燃性按</w:t>
      </w:r>
      <w:r>
        <w:rPr>
          <w:rFonts w:hint="eastAsia" w:cs="宋体"/>
          <w:color w:val="000000"/>
        </w:rPr>
        <w:t>GB</w:t>
      </w:r>
      <w:r>
        <w:rPr>
          <w:rFonts w:hint="eastAsia" w:cs="宋体"/>
          <w:color w:val="000000"/>
          <w:lang w:val="en-US" w:eastAsia="zh-CN"/>
        </w:rPr>
        <w:t xml:space="preserve"> </w:t>
      </w:r>
      <w:bookmarkStart w:id="29" w:name="_GoBack"/>
      <w:bookmarkEnd w:id="29"/>
      <w:r>
        <w:rPr>
          <w:rFonts w:hint="eastAsia" w:cs="宋体"/>
          <w:color w:val="000000"/>
          <w:lang w:val="en-US" w:eastAsia="zh-CN"/>
        </w:rPr>
        <w:t>17927.2</w:t>
      </w:r>
      <w:r>
        <w:rPr>
          <w:rFonts w:hint="eastAsia" w:hAnsi="宋体" w:cs="宋体"/>
          <w:color w:val="000000"/>
        </w:rPr>
        <w:t>的规定进行，其他</w:t>
      </w:r>
      <w:r>
        <w:rPr>
          <w:rFonts w:hint="eastAsia" w:cs="宋体"/>
          <w:color w:val="000000"/>
        </w:rPr>
        <w:t>类型智能家具及组件的阻燃性</w:t>
      </w:r>
      <w:r>
        <w:rPr>
          <w:rFonts w:hint="eastAsia"/>
          <w:color w:val="000000"/>
        </w:rPr>
        <w:t>按供需双方的合同规定测定。</w:t>
      </w:r>
    </w:p>
    <w:p>
      <w:pPr>
        <w:pStyle w:val="48"/>
        <w:rPr>
          <w:rFonts w:hint="eastAsia"/>
        </w:rPr>
      </w:pPr>
      <w:r>
        <w:rPr>
          <w:rFonts w:hint="eastAsia"/>
        </w:rPr>
        <w:t>电磁兼容</w:t>
      </w:r>
    </w:p>
    <w:p>
      <w:pPr>
        <w:pStyle w:val="24"/>
        <w:rPr>
          <w:rFonts w:hint="eastAsia" w:cs="宋体"/>
          <w:color w:val="000000"/>
        </w:rPr>
      </w:pPr>
      <w:r>
        <w:rPr>
          <w:rFonts w:hint="eastAsia" w:cs="宋体"/>
          <w:color w:val="000000"/>
        </w:rPr>
        <w:t>按GB 4343.1、GB/T 4343.2和</w:t>
      </w:r>
      <w:r>
        <w:rPr>
          <w:rFonts w:cs="宋体"/>
          <w:color w:val="000000"/>
        </w:rPr>
        <w:t>GB 17625.1</w:t>
      </w:r>
      <w:r>
        <w:rPr>
          <w:rFonts w:hint="eastAsia" w:cs="宋体"/>
          <w:color w:val="000000"/>
        </w:rPr>
        <w:t>的规定进行。</w:t>
      </w:r>
    </w:p>
    <w:p>
      <w:pPr>
        <w:pStyle w:val="48"/>
        <w:rPr>
          <w:rFonts w:hint="eastAsia"/>
        </w:rPr>
      </w:pPr>
      <w:r>
        <w:rPr>
          <w:rFonts w:hint="eastAsia"/>
        </w:rPr>
        <w:t>通讯信号</w:t>
      </w:r>
    </w:p>
    <w:p>
      <w:pPr>
        <w:pStyle w:val="24"/>
        <w:rPr>
          <w:rFonts w:hint="eastAsia"/>
        </w:rPr>
      </w:pPr>
      <w:r>
        <w:rPr>
          <w:rFonts w:hint="eastAsia" w:hAnsi="宋体" w:cs="黑体"/>
          <w:szCs w:val="21"/>
        </w:rPr>
        <w:t>语音交互系统的测试，按</w:t>
      </w:r>
      <w:r>
        <w:rPr>
          <w:rFonts w:hAnsi="宋体" w:cs="宋体"/>
          <w:color w:val="000000"/>
        </w:rPr>
        <w:t>GB/T 36464.2的规定进行。</w:t>
      </w:r>
    </w:p>
    <w:p>
      <w:pPr>
        <w:pStyle w:val="51"/>
        <w:rPr>
          <w:color w:val="000000"/>
        </w:rPr>
      </w:pPr>
      <w:bookmarkStart w:id="27" w:name="_Toc413137779"/>
      <w:bookmarkStart w:id="28" w:name="_Toc411779981"/>
      <w:r>
        <w:rPr>
          <w:rFonts w:hint="eastAsia"/>
          <w:color w:val="000000"/>
        </w:rPr>
        <w:t>检验规则</w:t>
      </w:r>
    </w:p>
    <w:p>
      <w:pPr>
        <w:pStyle w:val="48"/>
        <w:numPr>
          <w:ilvl w:val="0"/>
          <w:numId w:val="0"/>
        </w:numPr>
        <w:rPr>
          <w:rFonts w:hint="eastAsia"/>
        </w:rPr>
      </w:pPr>
      <w:r>
        <w:rPr>
          <w:rFonts w:hint="eastAsia"/>
        </w:rPr>
        <w:t>7.1检验分类</w:t>
      </w:r>
    </w:p>
    <w:p>
      <w:pPr>
        <w:pStyle w:val="24"/>
        <w:rPr>
          <w:rFonts w:hint="eastAsia"/>
        </w:rPr>
      </w:pPr>
      <w:r>
        <w:rPr>
          <w:rFonts w:hint="eastAsia"/>
        </w:rPr>
        <w:t>产品检验可分为出厂检验、型式检验。</w:t>
      </w:r>
    </w:p>
    <w:p>
      <w:pPr>
        <w:pStyle w:val="48"/>
        <w:numPr>
          <w:ilvl w:val="0"/>
          <w:numId w:val="0"/>
        </w:numPr>
        <w:rPr>
          <w:rFonts w:hint="eastAsia"/>
        </w:rPr>
      </w:pPr>
      <w:r>
        <w:rPr>
          <w:rFonts w:hint="eastAsia"/>
        </w:rPr>
        <w:t>7.2出厂检验</w:t>
      </w:r>
    </w:p>
    <w:p>
      <w:pPr>
        <w:pStyle w:val="48"/>
        <w:numPr>
          <w:ilvl w:val="1"/>
          <w:numId w:val="0"/>
        </w:numPr>
        <w:rPr>
          <w:rFonts w:hint="eastAsia"/>
        </w:rPr>
      </w:pPr>
      <w:r>
        <w:rPr>
          <w:rFonts w:hint="eastAsia"/>
        </w:rPr>
        <w:t>7.2.1出厂检验项目</w:t>
      </w:r>
    </w:p>
    <w:p>
      <w:pPr>
        <w:pStyle w:val="24"/>
        <w:rPr>
          <w:rFonts w:hint="eastAsia"/>
        </w:rPr>
      </w:pPr>
      <w:r>
        <w:rPr>
          <w:rFonts w:hint="eastAsia"/>
        </w:rPr>
        <w:t>出厂检验包括以下项目：</w:t>
      </w:r>
    </w:p>
    <w:p>
      <w:pPr>
        <w:pStyle w:val="10"/>
        <w:ind w:firstLine="420" w:firstLineChars="200"/>
        <w:rPr>
          <w:lang w:val="en-US" w:eastAsia="zh-CN"/>
        </w:rPr>
      </w:pPr>
      <w:r>
        <w:rPr>
          <w:lang w:val="en-US" w:eastAsia="zh-CN"/>
        </w:rPr>
        <w:t>条款5.1、5.7.3、5.7.4、5.7.5、5.7.6、5.10.2、5.10.3、5.10.6、5.10.7、5.10.8、5.10.9、5.15.</w:t>
      </w:r>
    </w:p>
    <w:p>
      <w:pPr>
        <w:pStyle w:val="48"/>
        <w:numPr>
          <w:ilvl w:val="1"/>
          <w:numId w:val="0"/>
        </w:numPr>
        <w:rPr>
          <w:rFonts w:hint="eastAsia"/>
        </w:rPr>
      </w:pPr>
      <w:r>
        <w:rPr>
          <w:rFonts w:hint="eastAsia"/>
        </w:rPr>
        <w:t>7.2.2组坯规则和抽样方案</w:t>
      </w:r>
    </w:p>
    <w:p>
      <w:pPr>
        <w:pStyle w:val="10"/>
        <w:ind w:firstLine="420" w:firstLineChars="200"/>
      </w:pPr>
      <w:r>
        <w:t>相同材料、相同工艺、同一时期生产的同型号产品为一批产品。</w:t>
      </w:r>
    </w:p>
    <w:p>
      <w:pPr>
        <w:pStyle w:val="10"/>
        <w:spacing w:before="43" w:line="278" w:lineRule="auto"/>
        <w:ind w:right="114" w:firstLine="420" w:firstLineChars="200"/>
      </w:pPr>
      <w:r>
        <w:t>抽样检验程序执行GB/T</w:t>
      </w:r>
      <w:r>
        <w:rPr>
          <w:rFonts w:hint="eastAsia"/>
          <w:lang w:val="en-US" w:eastAsia="zh-CN"/>
        </w:rPr>
        <w:t xml:space="preserve"> </w:t>
      </w:r>
      <w:r>
        <w:t>2828.1—2012</w:t>
      </w:r>
      <w:r>
        <w:rPr>
          <w:spacing w:val="-16"/>
        </w:rPr>
        <w:t xml:space="preserve">中规定，采用正常检验一次抽样，检验水平为一般检验水平Ⅱ， </w:t>
      </w:r>
      <w:r>
        <w:t>接收质量限(AQL)为6.5，其抽样方案见表</w:t>
      </w:r>
      <w:r>
        <w:rPr>
          <w:rFonts w:hint="eastAsia"/>
          <w:lang w:val="en-US" w:eastAsia="zh-CN"/>
        </w:rPr>
        <w:t>1</w:t>
      </w:r>
      <w:r>
        <w:t>。</w:t>
      </w:r>
    </w:p>
    <w:p>
      <w:pPr>
        <w:pStyle w:val="10"/>
        <w:spacing w:before="43" w:line="278" w:lineRule="auto"/>
        <w:ind w:left="293" w:right="1312" w:firstLine="419"/>
        <w:jc w:val="center"/>
        <w:rPr>
          <w:lang w:val="en-US" w:eastAsia="zh-CN"/>
        </w:rPr>
      </w:pPr>
      <w:r>
        <w:rPr>
          <w:rFonts w:hint="eastAsia"/>
          <w:lang w:val="en-US" w:eastAsia="zh-CN"/>
        </w:rPr>
        <w:t>表1 出厂检验抽样方案</w:t>
      </w:r>
    </w:p>
    <w:p>
      <w:pPr>
        <w:pStyle w:val="24"/>
        <w:wordWrap w:val="0"/>
        <w:ind w:firstLine="0" w:firstLineChars="0"/>
        <w:jc w:val="right"/>
      </w:pPr>
      <w:r>
        <w:rPr>
          <w:rFonts w:hint="eastAsia"/>
        </w:rPr>
        <w:t xml:space="preserve">单位：个     </w:t>
      </w:r>
    </w:p>
    <w:tbl>
      <w:tblPr>
        <w:tblStyle w:val="33"/>
        <w:tblW w:w="0" w:type="auto"/>
        <w:tblInd w:w="2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216"/>
        <w:gridCol w:w="2214"/>
        <w:gridCol w:w="2216"/>
        <w:gridCol w:w="221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trHeight w:val="395" w:hRule="atLeast"/>
        </w:trPr>
        <w:tc>
          <w:tcPr>
            <w:tcW w:w="2216" w:type="dxa"/>
            <w:tcBorders>
              <w:right w:val="single" w:color="000000" w:sz="6" w:space="0"/>
            </w:tcBorders>
            <w:noWrap w:val="0"/>
            <w:vAlign w:val="center"/>
          </w:tcPr>
          <w:p>
            <w:pPr>
              <w:pStyle w:val="144"/>
              <w:adjustRightInd w:val="0"/>
              <w:snapToGrid w:val="0"/>
              <w:spacing w:line="360" w:lineRule="auto"/>
              <w:jc w:val="center"/>
              <w:rPr>
                <w:sz w:val="18"/>
              </w:rPr>
            </w:pPr>
            <w:r>
              <w:rPr>
                <w:sz w:val="18"/>
              </w:rPr>
              <w:t>本批次产品总数</w:t>
            </w:r>
          </w:p>
        </w:tc>
        <w:tc>
          <w:tcPr>
            <w:tcW w:w="2214" w:type="dxa"/>
            <w:tcBorders>
              <w:left w:val="single" w:color="000000" w:sz="6" w:space="0"/>
              <w:right w:val="single" w:color="000000" w:sz="6" w:space="0"/>
            </w:tcBorders>
            <w:noWrap w:val="0"/>
            <w:vAlign w:val="center"/>
          </w:tcPr>
          <w:p>
            <w:pPr>
              <w:pStyle w:val="144"/>
              <w:adjustRightInd w:val="0"/>
              <w:snapToGrid w:val="0"/>
              <w:spacing w:line="360" w:lineRule="auto"/>
              <w:jc w:val="center"/>
              <w:rPr>
                <w:sz w:val="18"/>
              </w:rPr>
            </w:pPr>
            <w:r>
              <w:rPr>
                <w:sz w:val="18"/>
              </w:rPr>
              <w:t>样本量</w:t>
            </w:r>
          </w:p>
        </w:tc>
        <w:tc>
          <w:tcPr>
            <w:tcW w:w="2216" w:type="dxa"/>
            <w:tcBorders>
              <w:left w:val="single" w:color="000000" w:sz="6" w:space="0"/>
              <w:right w:val="single" w:color="000000" w:sz="6" w:space="0"/>
            </w:tcBorders>
            <w:noWrap w:val="0"/>
            <w:vAlign w:val="center"/>
          </w:tcPr>
          <w:p>
            <w:pPr>
              <w:pStyle w:val="144"/>
              <w:adjustRightInd w:val="0"/>
              <w:snapToGrid w:val="0"/>
              <w:spacing w:line="360" w:lineRule="auto"/>
              <w:jc w:val="center"/>
              <w:rPr>
                <w:sz w:val="18"/>
              </w:rPr>
            </w:pPr>
            <w:r>
              <w:rPr>
                <w:sz w:val="18"/>
              </w:rPr>
              <w:t>接受数（Ac）</w:t>
            </w:r>
          </w:p>
        </w:tc>
        <w:tc>
          <w:tcPr>
            <w:tcW w:w="2216" w:type="dxa"/>
            <w:tcBorders>
              <w:left w:val="single" w:color="000000" w:sz="6" w:space="0"/>
            </w:tcBorders>
            <w:noWrap w:val="0"/>
            <w:vAlign w:val="center"/>
          </w:tcPr>
          <w:p>
            <w:pPr>
              <w:pStyle w:val="144"/>
              <w:tabs>
                <w:tab w:val="center" w:pos="1114"/>
              </w:tabs>
              <w:adjustRightInd w:val="0"/>
              <w:snapToGrid w:val="0"/>
              <w:spacing w:line="360" w:lineRule="auto"/>
              <w:jc w:val="center"/>
              <w:rPr>
                <w:sz w:val="18"/>
              </w:rPr>
            </w:pPr>
            <w:r>
              <w:rPr>
                <w:sz w:val="18"/>
              </w:rPr>
              <w:t>拒收数（Re）</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trHeight w:val="398" w:hRule="atLeast"/>
        </w:trPr>
        <w:tc>
          <w:tcPr>
            <w:tcW w:w="2216" w:type="dxa"/>
            <w:tcBorders>
              <w:bottom w:val="single" w:color="000000" w:sz="6" w:space="0"/>
              <w:right w:val="single" w:color="000000" w:sz="6" w:space="0"/>
            </w:tcBorders>
            <w:noWrap w:val="0"/>
            <w:vAlign w:val="center"/>
          </w:tcPr>
          <w:p>
            <w:pPr>
              <w:pStyle w:val="144"/>
              <w:adjustRightInd w:val="0"/>
              <w:snapToGrid w:val="0"/>
              <w:spacing w:line="360" w:lineRule="auto"/>
              <w:jc w:val="center"/>
              <w:rPr>
                <w:sz w:val="18"/>
              </w:rPr>
            </w:pPr>
            <w:r>
              <w:rPr>
                <w:sz w:val="18"/>
              </w:rPr>
              <w:t>26</w:t>
            </w:r>
            <w:r>
              <w:t>～</w:t>
            </w:r>
            <w:r>
              <w:rPr>
                <w:sz w:val="18"/>
              </w:rPr>
              <w:t>50</w:t>
            </w:r>
          </w:p>
        </w:tc>
        <w:tc>
          <w:tcPr>
            <w:tcW w:w="2214" w:type="dxa"/>
            <w:tcBorders>
              <w:left w:val="single" w:color="000000" w:sz="6" w:space="0"/>
              <w:bottom w:val="single" w:color="000000" w:sz="6" w:space="0"/>
              <w:right w:val="single" w:color="000000" w:sz="6" w:space="0"/>
            </w:tcBorders>
            <w:noWrap w:val="0"/>
            <w:vAlign w:val="center"/>
          </w:tcPr>
          <w:p>
            <w:pPr>
              <w:pStyle w:val="144"/>
              <w:adjustRightInd w:val="0"/>
              <w:snapToGrid w:val="0"/>
              <w:spacing w:line="360" w:lineRule="auto"/>
              <w:jc w:val="center"/>
              <w:rPr>
                <w:sz w:val="18"/>
              </w:rPr>
            </w:pPr>
            <w:r>
              <w:rPr>
                <w:sz w:val="18"/>
              </w:rPr>
              <w:t>8</w:t>
            </w:r>
          </w:p>
        </w:tc>
        <w:tc>
          <w:tcPr>
            <w:tcW w:w="2216" w:type="dxa"/>
            <w:tcBorders>
              <w:left w:val="single" w:color="000000" w:sz="6" w:space="0"/>
              <w:bottom w:val="single" w:color="000000" w:sz="6" w:space="0"/>
              <w:right w:val="single" w:color="000000" w:sz="6" w:space="0"/>
            </w:tcBorders>
            <w:noWrap w:val="0"/>
            <w:vAlign w:val="center"/>
          </w:tcPr>
          <w:p>
            <w:pPr>
              <w:pStyle w:val="144"/>
              <w:adjustRightInd w:val="0"/>
              <w:snapToGrid w:val="0"/>
              <w:spacing w:line="360" w:lineRule="auto"/>
              <w:jc w:val="center"/>
              <w:rPr>
                <w:sz w:val="18"/>
              </w:rPr>
            </w:pPr>
            <w:r>
              <w:rPr>
                <w:sz w:val="18"/>
              </w:rPr>
              <w:t>1</w:t>
            </w:r>
          </w:p>
        </w:tc>
        <w:tc>
          <w:tcPr>
            <w:tcW w:w="2216" w:type="dxa"/>
            <w:tcBorders>
              <w:left w:val="single" w:color="000000" w:sz="6" w:space="0"/>
              <w:bottom w:val="single" w:color="000000" w:sz="6" w:space="0"/>
            </w:tcBorders>
            <w:noWrap w:val="0"/>
            <w:vAlign w:val="center"/>
          </w:tcPr>
          <w:p>
            <w:pPr>
              <w:pStyle w:val="144"/>
              <w:adjustRightInd w:val="0"/>
              <w:snapToGrid w:val="0"/>
              <w:spacing w:line="360" w:lineRule="auto"/>
              <w:jc w:val="center"/>
              <w:rPr>
                <w:sz w:val="18"/>
              </w:rPr>
            </w:pPr>
            <w:r>
              <w:rPr>
                <w:sz w:val="18"/>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trHeight w:val="396" w:hRule="atLeast"/>
        </w:trPr>
        <w:tc>
          <w:tcPr>
            <w:tcW w:w="2216" w:type="dxa"/>
            <w:tcBorders>
              <w:top w:val="single" w:color="000000" w:sz="6" w:space="0"/>
              <w:bottom w:val="single" w:color="000000" w:sz="6" w:space="0"/>
              <w:right w:val="single" w:color="000000" w:sz="6" w:space="0"/>
            </w:tcBorders>
            <w:noWrap w:val="0"/>
            <w:vAlign w:val="center"/>
          </w:tcPr>
          <w:p>
            <w:pPr>
              <w:pStyle w:val="144"/>
              <w:adjustRightInd w:val="0"/>
              <w:snapToGrid w:val="0"/>
              <w:spacing w:line="360" w:lineRule="auto"/>
              <w:jc w:val="center"/>
              <w:rPr>
                <w:sz w:val="18"/>
              </w:rPr>
            </w:pPr>
            <w:r>
              <w:rPr>
                <w:sz w:val="18"/>
              </w:rPr>
              <w:t>51</w:t>
            </w:r>
            <w:r>
              <w:t>～</w:t>
            </w:r>
            <w:r>
              <w:rPr>
                <w:sz w:val="18"/>
              </w:rPr>
              <w:t>90</w:t>
            </w:r>
          </w:p>
        </w:tc>
        <w:tc>
          <w:tcPr>
            <w:tcW w:w="2214" w:type="dxa"/>
            <w:tcBorders>
              <w:top w:val="single" w:color="000000" w:sz="6" w:space="0"/>
              <w:left w:val="single" w:color="000000" w:sz="6" w:space="0"/>
              <w:bottom w:val="single" w:color="000000" w:sz="6" w:space="0"/>
              <w:right w:val="single" w:color="000000" w:sz="6" w:space="0"/>
            </w:tcBorders>
            <w:noWrap w:val="0"/>
            <w:vAlign w:val="center"/>
          </w:tcPr>
          <w:p>
            <w:pPr>
              <w:pStyle w:val="144"/>
              <w:adjustRightInd w:val="0"/>
              <w:snapToGrid w:val="0"/>
              <w:spacing w:line="360" w:lineRule="auto"/>
              <w:jc w:val="center"/>
              <w:rPr>
                <w:sz w:val="18"/>
              </w:rPr>
            </w:pPr>
            <w:r>
              <w:rPr>
                <w:sz w:val="18"/>
              </w:rPr>
              <w:t>13</w:t>
            </w:r>
          </w:p>
        </w:tc>
        <w:tc>
          <w:tcPr>
            <w:tcW w:w="2216" w:type="dxa"/>
            <w:tcBorders>
              <w:top w:val="single" w:color="000000" w:sz="6" w:space="0"/>
              <w:left w:val="single" w:color="000000" w:sz="6" w:space="0"/>
              <w:bottom w:val="single" w:color="000000" w:sz="6" w:space="0"/>
              <w:right w:val="single" w:color="000000" w:sz="6" w:space="0"/>
            </w:tcBorders>
            <w:noWrap w:val="0"/>
            <w:vAlign w:val="center"/>
          </w:tcPr>
          <w:p>
            <w:pPr>
              <w:pStyle w:val="144"/>
              <w:adjustRightInd w:val="0"/>
              <w:snapToGrid w:val="0"/>
              <w:spacing w:line="360" w:lineRule="auto"/>
              <w:jc w:val="center"/>
              <w:rPr>
                <w:sz w:val="18"/>
              </w:rPr>
            </w:pPr>
            <w:r>
              <w:rPr>
                <w:sz w:val="18"/>
              </w:rPr>
              <w:t>2</w:t>
            </w:r>
          </w:p>
        </w:tc>
        <w:tc>
          <w:tcPr>
            <w:tcW w:w="2216" w:type="dxa"/>
            <w:tcBorders>
              <w:top w:val="single" w:color="000000" w:sz="6" w:space="0"/>
              <w:left w:val="single" w:color="000000" w:sz="6" w:space="0"/>
              <w:bottom w:val="single" w:color="000000" w:sz="6" w:space="0"/>
            </w:tcBorders>
            <w:noWrap w:val="0"/>
            <w:vAlign w:val="center"/>
          </w:tcPr>
          <w:p>
            <w:pPr>
              <w:pStyle w:val="144"/>
              <w:adjustRightInd w:val="0"/>
              <w:snapToGrid w:val="0"/>
              <w:spacing w:line="360" w:lineRule="auto"/>
              <w:jc w:val="center"/>
              <w:rPr>
                <w:sz w:val="18"/>
              </w:rPr>
            </w:pPr>
            <w:r>
              <w:rPr>
                <w:sz w:val="18"/>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trHeight w:val="393" w:hRule="atLeast"/>
        </w:trPr>
        <w:tc>
          <w:tcPr>
            <w:tcW w:w="2216" w:type="dxa"/>
            <w:tcBorders>
              <w:top w:val="single" w:color="000000" w:sz="6" w:space="0"/>
              <w:bottom w:val="single" w:color="000000" w:sz="6" w:space="0"/>
              <w:right w:val="single" w:color="000000" w:sz="6" w:space="0"/>
            </w:tcBorders>
            <w:noWrap w:val="0"/>
            <w:vAlign w:val="center"/>
          </w:tcPr>
          <w:p>
            <w:pPr>
              <w:pStyle w:val="144"/>
              <w:adjustRightInd w:val="0"/>
              <w:snapToGrid w:val="0"/>
              <w:spacing w:line="360" w:lineRule="auto"/>
              <w:jc w:val="center"/>
              <w:rPr>
                <w:sz w:val="18"/>
              </w:rPr>
            </w:pPr>
            <w:r>
              <w:rPr>
                <w:sz w:val="18"/>
              </w:rPr>
              <w:t>91</w:t>
            </w:r>
            <w:r>
              <w:t>～</w:t>
            </w:r>
            <w:r>
              <w:rPr>
                <w:sz w:val="18"/>
              </w:rPr>
              <w:t>150</w:t>
            </w:r>
          </w:p>
        </w:tc>
        <w:tc>
          <w:tcPr>
            <w:tcW w:w="2214" w:type="dxa"/>
            <w:tcBorders>
              <w:top w:val="single" w:color="000000" w:sz="6" w:space="0"/>
              <w:left w:val="single" w:color="000000" w:sz="6" w:space="0"/>
              <w:bottom w:val="single" w:color="000000" w:sz="6" w:space="0"/>
              <w:right w:val="single" w:color="000000" w:sz="6" w:space="0"/>
            </w:tcBorders>
            <w:noWrap w:val="0"/>
            <w:vAlign w:val="center"/>
          </w:tcPr>
          <w:p>
            <w:pPr>
              <w:pStyle w:val="144"/>
              <w:adjustRightInd w:val="0"/>
              <w:snapToGrid w:val="0"/>
              <w:spacing w:line="360" w:lineRule="auto"/>
              <w:jc w:val="center"/>
              <w:rPr>
                <w:sz w:val="18"/>
              </w:rPr>
            </w:pPr>
            <w:r>
              <w:rPr>
                <w:sz w:val="18"/>
              </w:rPr>
              <w:t>20</w:t>
            </w:r>
          </w:p>
        </w:tc>
        <w:tc>
          <w:tcPr>
            <w:tcW w:w="2216" w:type="dxa"/>
            <w:tcBorders>
              <w:top w:val="single" w:color="000000" w:sz="6" w:space="0"/>
              <w:left w:val="single" w:color="000000" w:sz="6" w:space="0"/>
              <w:bottom w:val="single" w:color="000000" w:sz="6" w:space="0"/>
              <w:right w:val="single" w:color="000000" w:sz="6" w:space="0"/>
            </w:tcBorders>
            <w:noWrap w:val="0"/>
            <w:vAlign w:val="center"/>
          </w:tcPr>
          <w:p>
            <w:pPr>
              <w:pStyle w:val="144"/>
              <w:adjustRightInd w:val="0"/>
              <w:snapToGrid w:val="0"/>
              <w:spacing w:line="360" w:lineRule="auto"/>
              <w:jc w:val="center"/>
              <w:rPr>
                <w:sz w:val="18"/>
              </w:rPr>
            </w:pPr>
            <w:r>
              <w:rPr>
                <w:sz w:val="18"/>
              </w:rPr>
              <w:t>3</w:t>
            </w:r>
          </w:p>
        </w:tc>
        <w:tc>
          <w:tcPr>
            <w:tcW w:w="2216" w:type="dxa"/>
            <w:tcBorders>
              <w:top w:val="single" w:color="000000" w:sz="6" w:space="0"/>
              <w:left w:val="single" w:color="000000" w:sz="6" w:space="0"/>
              <w:bottom w:val="single" w:color="000000" w:sz="6" w:space="0"/>
            </w:tcBorders>
            <w:noWrap w:val="0"/>
            <w:vAlign w:val="center"/>
          </w:tcPr>
          <w:p>
            <w:pPr>
              <w:pStyle w:val="144"/>
              <w:adjustRightInd w:val="0"/>
              <w:snapToGrid w:val="0"/>
              <w:spacing w:line="360" w:lineRule="auto"/>
              <w:jc w:val="center"/>
              <w:rPr>
                <w:sz w:val="18"/>
              </w:rPr>
            </w:pPr>
            <w:r>
              <w:rPr>
                <w:sz w:val="18"/>
              </w:rPr>
              <w:t>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trHeight w:val="396" w:hRule="atLeast"/>
        </w:trPr>
        <w:tc>
          <w:tcPr>
            <w:tcW w:w="2216" w:type="dxa"/>
            <w:tcBorders>
              <w:top w:val="single" w:color="000000" w:sz="6" w:space="0"/>
              <w:bottom w:val="single" w:color="000000" w:sz="6" w:space="0"/>
              <w:right w:val="single" w:color="000000" w:sz="6" w:space="0"/>
            </w:tcBorders>
            <w:noWrap w:val="0"/>
            <w:vAlign w:val="center"/>
          </w:tcPr>
          <w:p>
            <w:pPr>
              <w:pStyle w:val="144"/>
              <w:adjustRightInd w:val="0"/>
              <w:snapToGrid w:val="0"/>
              <w:spacing w:line="360" w:lineRule="auto"/>
              <w:jc w:val="center"/>
              <w:rPr>
                <w:sz w:val="18"/>
              </w:rPr>
            </w:pPr>
            <w:r>
              <w:rPr>
                <w:sz w:val="18"/>
              </w:rPr>
              <w:t>151</w:t>
            </w:r>
            <w:r>
              <w:t>～</w:t>
            </w:r>
            <w:r>
              <w:rPr>
                <w:sz w:val="18"/>
              </w:rPr>
              <w:t>280</w:t>
            </w:r>
          </w:p>
        </w:tc>
        <w:tc>
          <w:tcPr>
            <w:tcW w:w="2214" w:type="dxa"/>
            <w:tcBorders>
              <w:top w:val="single" w:color="000000" w:sz="6" w:space="0"/>
              <w:left w:val="single" w:color="000000" w:sz="6" w:space="0"/>
              <w:bottom w:val="single" w:color="000000" w:sz="6" w:space="0"/>
              <w:right w:val="single" w:color="000000" w:sz="6" w:space="0"/>
            </w:tcBorders>
            <w:noWrap w:val="0"/>
            <w:vAlign w:val="center"/>
          </w:tcPr>
          <w:p>
            <w:pPr>
              <w:pStyle w:val="144"/>
              <w:adjustRightInd w:val="0"/>
              <w:snapToGrid w:val="0"/>
              <w:spacing w:line="360" w:lineRule="auto"/>
              <w:jc w:val="center"/>
              <w:rPr>
                <w:sz w:val="18"/>
              </w:rPr>
            </w:pPr>
            <w:r>
              <w:rPr>
                <w:sz w:val="18"/>
              </w:rPr>
              <w:t>32</w:t>
            </w:r>
          </w:p>
        </w:tc>
        <w:tc>
          <w:tcPr>
            <w:tcW w:w="2216" w:type="dxa"/>
            <w:tcBorders>
              <w:top w:val="single" w:color="000000" w:sz="6" w:space="0"/>
              <w:left w:val="single" w:color="000000" w:sz="6" w:space="0"/>
              <w:bottom w:val="single" w:color="000000" w:sz="6" w:space="0"/>
              <w:right w:val="single" w:color="000000" w:sz="6" w:space="0"/>
            </w:tcBorders>
            <w:noWrap w:val="0"/>
            <w:vAlign w:val="center"/>
          </w:tcPr>
          <w:p>
            <w:pPr>
              <w:pStyle w:val="144"/>
              <w:adjustRightInd w:val="0"/>
              <w:snapToGrid w:val="0"/>
              <w:spacing w:line="360" w:lineRule="auto"/>
              <w:jc w:val="center"/>
              <w:rPr>
                <w:sz w:val="18"/>
              </w:rPr>
            </w:pPr>
            <w:r>
              <w:rPr>
                <w:sz w:val="18"/>
              </w:rPr>
              <w:t>5</w:t>
            </w:r>
          </w:p>
        </w:tc>
        <w:tc>
          <w:tcPr>
            <w:tcW w:w="2216" w:type="dxa"/>
            <w:tcBorders>
              <w:top w:val="single" w:color="000000" w:sz="6" w:space="0"/>
              <w:left w:val="single" w:color="000000" w:sz="6" w:space="0"/>
              <w:bottom w:val="single" w:color="000000" w:sz="6" w:space="0"/>
            </w:tcBorders>
            <w:noWrap w:val="0"/>
            <w:vAlign w:val="center"/>
          </w:tcPr>
          <w:p>
            <w:pPr>
              <w:pStyle w:val="144"/>
              <w:adjustRightInd w:val="0"/>
              <w:snapToGrid w:val="0"/>
              <w:spacing w:line="360" w:lineRule="auto"/>
              <w:jc w:val="center"/>
              <w:rPr>
                <w:sz w:val="18"/>
              </w:rPr>
            </w:pPr>
            <w:r>
              <w:rPr>
                <w:sz w:val="18"/>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trHeight w:val="396" w:hRule="atLeast"/>
        </w:trPr>
        <w:tc>
          <w:tcPr>
            <w:tcW w:w="2216" w:type="dxa"/>
            <w:tcBorders>
              <w:top w:val="single" w:color="000000" w:sz="6" w:space="0"/>
              <w:bottom w:val="single" w:color="000000" w:sz="6" w:space="0"/>
              <w:right w:val="single" w:color="000000" w:sz="6" w:space="0"/>
            </w:tcBorders>
            <w:noWrap w:val="0"/>
            <w:vAlign w:val="center"/>
          </w:tcPr>
          <w:p>
            <w:pPr>
              <w:pStyle w:val="144"/>
              <w:adjustRightInd w:val="0"/>
              <w:snapToGrid w:val="0"/>
              <w:spacing w:line="360" w:lineRule="auto"/>
              <w:jc w:val="center"/>
              <w:rPr>
                <w:sz w:val="18"/>
              </w:rPr>
            </w:pPr>
            <w:r>
              <w:rPr>
                <w:sz w:val="18"/>
              </w:rPr>
              <w:t>281</w:t>
            </w:r>
            <w:r>
              <w:t>～</w:t>
            </w:r>
            <w:r>
              <w:rPr>
                <w:sz w:val="18"/>
              </w:rPr>
              <w:t>500</w:t>
            </w:r>
          </w:p>
        </w:tc>
        <w:tc>
          <w:tcPr>
            <w:tcW w:w="2214" w:type="dxa"/>
            <w:tcBorders>
              <w:top w:val="single" w:color="000000" w:sz="6" w:space="0"/>
              <w:left w:val="single" w:color="000000" w:sz="6" w:space="0"/>
              <w:bottom w:val="single" w:color="000000" w:sz="6" w:space="0"/>
              <w:right w:val="single" w:color="000000" w:sz="6" w:space="0"/>
            </w:tcBorders>
            <w:noWrap w:val="0"/>
            <w:vAlign w:val="center"/>
          </w:tcPr>
          <w:p>
            <w:pPr>
              <w:pStyle w:val="144"/>
              <w:adjustRightInd w:val="0"/>
              <w:snapToGrid w:val="0"/>
              <w:spacing w:line="360" w:lineRule="auto"/>
              <w:jc w:val="center"/>
              <w:rPr>
                <w:sz w:val="18"/>
              </w:rPr>
            </w:pPr>
            <w:r>
              <w:rPr>
                <w:sz w:val="18"/>
              </w:rPr>
              <w:t>50</w:t>
            </w:r>
          </w:p>
        </w:tc>
        <w:tc>
          <w:tcPr>
            <w:tcW w:w="2216" w:type="dxa"/>
            <w:tcBorders>
              <w:top w:val="single" w:color="000000" w:sz="6" w:space="0"/>
              <w:left w:val="single" w:color="000000" w:sz="6" w:space="0"/>
              <w:bottom w:val="single" w:color="000000" w:sz="6" w:space="0"/>
              <w:right w:val="single" w:color="000000" w:sz="6" w:space="0"/>
            </w:tcBorders>
            <w:noWrap w:val="0"/>
            <w:vAlign w:val="center"/>
          </w:tcPr>
          <w:p>
            <w:pPr>
              <w:pStyle w:val="144"/>
              <w:adjustRightInd w:val="0"/>
              <w:snapToGrid w:val="0"/>
              <w:spacing w:line="360" w:lineRule="auto"/>
              <w:jc w:val="center"/>
              <w:rPr>
                <w:sz w:val="18"/>
              </w:rPr>
            </w:pPr>
            <w:r>
              <w:rPr>
                <w:sz w:val="18"/>
              </w:rPr>
              <w:t>7</w:t>
            </w:r>
          </w:p>
        </w:tc>
        <w:tc>
          <w:tcPr>
            <w:tcW w:w="2216" w:type="dxa"/>
            <w:tcBorders>
              <w:top w:val="single" w:color="000000" w:sz="6" w:space="0"/>
              <w:left w:val="single" w:color="000000" w:sz="6" w:space="0"/>
              <w:bottom w:val="single" w:color="000000" w:sz="6" w:space="0"/>
            </w:tcBorders>
            <w:noWrap w:val="0"/>
            <w:vAlign w:val="center"/>
          </w:tcPr>
          <w:p>
            <w:pPr>
              <w:pStyle w:val="144"/>
              <w:adjustRightInd w:val="0"/>
              <w:snapToGrid w:val="0"/>
              <w:spacing w:line="360" w:lineRule="auto"/>
              <w:jc w:val="center"/>
              <w:rPr>
                <w:sz w:val="18"/>
              </w:rPr>
            </w:pPr>
            <w:r>
              <w:rPr>
                <w:sz w:val="18"/>
              </w:rPr>
              <w:t>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trHeight w:val="396" w:hRule="atLeast"/>
        </w:trPr>
        <w:tc>
          <w:tcPr>
            <w:tcW w:w="2216" w:type="dxa"/>
            <w:tcBorders>
              <w:top w:val="single" w:color="000000" w:sz="6" w:space="0"/>
              <w:bottom w:val="single" w:color="000000" w:sz="6" w:space="0"/>
              <w:right w:val="single" w:color="000000" w:sz="6" w:space="0"/>
            </w:tcBorders>
            <w:noWrap w:val="0"/>
            <w:vAlign w:val="center"/>
          </w:tcPr>
          <w:p>
            <w:pPr>
              <w:pStyle w:val="144"/>
              <w:adjustRightInd w:val="0"/>
              <w:snapToGrid w:val="0"/>
              <w:spacing w:line="360" w:lineRule="auto"/>
              <w:jc w:val="center"/>
              <w:rPr>
                <w:sz w:val="18"/>
              </w:rPr>
            </w:pPr>
            <w:r>
              <w:rPr>
                <w:sz w:val="18"/>
              </w:rPr>
              <w:t>501</w:t>
            </w:r>
            <w:r>
              <w:t>～</w:t>
            </w:r>
            <w:r>
              <w:rPr>
                <w:sz w:val="18"/>
              </w:rPr>
              <w:t>1 200</w:t>
            </w:r>
          </w:p>
        </w:tc>
        <w:tc>
          <w:tcPr>
            <w:tcW w:w="2214" w:type="dxa"/>
            <w:tcBorders>
              <w:top w:val="single" w:color="000000" w:sz="6" w:space="0"/>
              <w:left w:val="single" w:color="000000" w:sz="6" w:space="0"/>
              <w:bottom w:val="single" w:color="000000" w:sz="6" w:space="0"/>
              <w:right w:val="single" w:color="000000" w:sz="6" w:space="0"/>
            </w:tcBorders>
            <w:noWrap w:val="0"/>
            <w:vAlign w:val="center"/>
          </w:tcPr>
          <w:p>
            <w:pPr>
              <w:pStyle w:val="144"/>
              <w:adjustRightInd w:val="0"/>
              <w:snapToGrid w:val="0"/>
              <w:spacing w:line="360" w:lineRule="auto"/>
              <w:jc w:val="center"/>
              <w:rPr>
                <w:sz w:val="18"/>
              </w:rPr>
            </w:pPr>
            <w:r>
              <w:rPr>
                <w:sz w:val="18"/>
              </w:rPr>
              <w:t>80</w:t>
            </w:r>
          </w:p>
        </w:tc>
        <w:tc>
          <w:tcPr>
            <w:tcW w:w="2216" w:type="dxa"/>
            <w:tcBorders>
              <w:top w:val="single" w:color="000000" w:sz="6" w:space="0"/>
              <w:left w:val="single" w:color="000000" w:sz="6" w:space="0"/>
              <w:bottom w:val="single" w:color="000000" w:sz="6" w:space="0"/>
              <w:right w:val="single" w:color="000000" w:sz="6" w:space="0"/>
            </w:tcBorders>
            <w:noWrap w:val="0"/>
            <w:vAlign w:val="center"/>
          </w:tcPr>
          <w:p>
            <w:pPr>
              <w:pStyle w:val="144"/>
              <w:adjustRightInd w:val="0"/>
              <w:snapToGrid w:val="0"/>
              <w:spacing w:line="360" w:lineRule="auto"/>
              <w:jc w:val="center"/>
              <w:rPr>
                <w:sz w:val="18"/>
              </w:rPr>
            </w:pPr>
            <w:r>
              <w:rPr>
                <w:sz w:val="18"/>
              </w:rPr>
              <w:t>10</w:t>
            </w:r>
          </w:p>
        </w:tc>
        <w:tc>
          <w:tcPr>
            <w:tcW w:w="2216" w:type="dxa"/>
            <w:tcBorders>
              <w:top w:val="single" w:color="000000" w:sz="6" w:space="0"/>
              <w:left w:val="single" w:color="000000" w:sz="6" w:space="0"/>
              <w:bottom w:val="single" w:color="000000" w:sz="6" w:space="0"/>
            </w:tcBorders>
            <w:noWrap w:val="0"/>
            <w:vAlign w:val="center"/>
          </w:tcPr>
          <w:p>
            <w:pPr>
              <w:pStyle w:val="144"/>
              <w:adjustRightInd w:val="0"/>
              <w:snapToGrid w:val="0"/>
              <w:spacing w:line="360" w:lineRule="auto"/>
              <w:jc w:val="center"/>
              <w:rPr>
                <w:sz w:val="18"/>
              </w:rPr>
            </w:pPr>
            <w:r>
              <w:rPr>
                <w:sz w:val="18"/>
              </w:rPr>
              <w:t>11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trHeight w:val="395" w:hRule="atLeast"/>
        </w:trPr>
        <w:tc>
          <w:tcPr>
            <w:tcW w:w="2216" w:type="dxa"/>
            <w:tcBorders>
              <w:top w:val="single" w:color="000000" w:sz="6" w:space="0"/>
              <w:right w:val="single" w:color="000000" w:sz="6" w:space="0"/>
            </w:tcBorders>
            <w:noWrap w:val="0"/>
            <w:vAlign w:val="center"/>
          </w:tcPr>
          <w:p>
            <w:pPr>
              <w:pStyle w:val="144"/>
              <w:adjustRightInd w:val="0"/>
              <w:snapToGrid w:val="0"/>
              <w:spacing w:line="360" w:lineRule="auto"/>
              <w:jc w:val="center"/>
              <w:rPr>
                <w:sz w:val="18"/>
              </w:rPr>
            </w:pPr>
            <w:r>
              <w:rPr>
                <w:sz w:val="18"/>
              </w:rPr>
              <w:t>1 201</w:t>
            </w:r>
            <w:r>
              <w:t>～</w:t>
            </w:r>
            <w:r>
              <w:rPr>
                <w:sz w:val="18"/>
              </w:rPr>
              <w:t>3 200</w:t>
            </w:r>
          </w:p>
        </w:tc>
        <w:tc>
          <w:tcPr>
            <w:tcW w:w="2214" w:type="dxa"/>
            <w:tcBorders>
              <w:top w:val="single" w:color="000000" w:sz="6" w:space="0"/>
              <w:left w:val="single" w:color="000000" w:sz="6" w:space="0"/>
              <w:right w:val="single" w:color="000000" w:sz="6" w:space="0"/>
            </w:tcBorders>
            <w:noWrap w:val="0"/>
            <w:vAlign w:val="center"/>
          </w:tcPr>
          <w:p>
            <w:pPr>
              <w:pStyle w:val="144"/>
              <w:adjustRightInd w:val="0"/>
              <w:snapToGrid w:val="0"/>
              <w:spacing w:line="360" w:lineRule="auto"/>
              <w:jc w:val="center"/>
              <w:rPr>
                <w:sz w:val="18"/>
              </w:rPr>
            </w:pPr>
            <w:r>
              <w:rPr>
                <w:sz w:val="18"/>
              </w:rPr>
              <w:t>125</w:t>
            </w:r>
          </w:p>
        </w:tc>
        <w:tc>
          <w:tcPr>
            <w:tcW w:w="2216" w:type="dxa"/>
            <w:tcBorders>
              <w:top w:val="single" w:color="000000" w:sz="6" w:space="0"/>
              <w:left w:val="single" w:color="000000" w:sz="6" w:space="0"/>
              <w:right w:val="single" w:color="000000" w:sz="6" w:space="0"/>
            </w:tcBorders>
            <w:noWrap w:val="0"/>
            <w:vAlign w:val="center"/>
          </w:tcPr>
          <w:p>
            <w:pPr>
              <w:pStyle w:val="144"/>
              <w:adjustRightInd w:val="0"/>
              <w:snapToGrid w:val="0"/>
              <w:spacing w:line="360" w:lineRule="auto"/>
              <w:jc w:val="center"/>
              <w:rPr>
                <w:sz w:val="18"/>
              </w:rPr>
            </w:pPr>
            <w:r>
              <w:rPr>
                <w:sz w:val="18"/>
              </w:rPr>
              <w:t>14</w:t>
            </w:r>
          </w:p>
        </w:tc>
        <w:tc>
          <w:tcPr>
            <w:tcW w:w="2216" w:type="dxa"/>
            <w:tcBorders>
              <w:top w:val="single" w:color="000000" w:sz="6" w:space="0"/>
              <w:left w:val="single" w:color="000000" w:sz="6" w:space="0"/>
            </w:tcBorders>
            <w:noWrap w:val="0"/>
            <w:vAlign w:val="center"/>
          </w:tcPr>
          <w:p>
            <w:pPr>
              <w:pStyle w:val="144"/>
              <w:adjustRightInd w:val="0"/>
              <w:snapToGrid w:val="0"/>
              <w:spacing w:line="360" w:lineRule="auto"/>
              <w:jc w:val="center"/>
              <w:rPr>
                <w:sz w:val="18"/>
              </w:rPr>
            </w:pPr>
            <w:r>
              <w:rPr>
                <w:sz w:val="18"/>
              </w:rPr>
              <w:t>15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wBefore w:w="0" w:type="dxa"/>
          <w:wAfter w:w="0" w:type="dxa"/>
          <w:trHeight w:val="310" w:hRule="atLeast"/>
        </w:trPr>
        <w:tc>
          <w:tcPr>
            <w:tcW w:w="8863" w:type="dxa"/>
            <w:gridSpan w:val="4"/>
            <w:noWrap w:val="0"/>
            <w:vAlign w:val="center"/>
          </w:tcPr>
          <w:p>
            <w:pPr>
              <w:pStyle w:val="144"/>
              <w:adjustRightInd w:val="0"/>
              <w:snapToGrid w:val="0"/>
              <w:spacing w:line="360" w:lineRule="auto"/>
              <w:rPr>
                <w:sz w:val="18"/>
              </w:rPr>
            </w:pPr>
            <w:r>
              <w:rPr>
                <w:sz w:val="18"/>
              </w:rPr>
              <w:t>注：26件以下为全数检验。</w:t>
            </w:r>
          </w:p>
        </w:tc>
      </w:tr>
    </w:tbl>
    <w:p>
      <w:pPr>
        <w:pStyle w:val="48"/>
        <w:numPr>
          <w:ilvl w:val="1"/>
          <w:numId w:val="0"/>
        </w:numPr>
        <w:rPr>
          <w:rFonts w:hint="eastAsia"/>
        </w:rPr>
      </w:pPr>
      <w:r>
        <w:rPr>
          <w:rFonts w:hint="eastAsia"/>
        </w:rPr>
        <w:t>7.2.3判定规则</w:t>
      </w:r>
    </w:p>
    <w:p>
      <w:pPr>
        <w:pStyle w:val="48"/>
        <w:numPr>
          <w:ilvl w:val="1"/>
          <w:numId w:val="0"/>
        </w:numPr>
        <w:rPr>
          <w:rFonts w:hint="eastAsia"/>
        </w:rPr>
      </w:pPr>
      <w:r>
        <w:rPr>
          <w:rFonts w:hint="eastAsia"/>
        </w:rPr>
        <w:t>7.2.3.1单件产品出厂检验合格性判定</w:t>
      </w:r>
    </w:p>
    <w:p>
      <w:pPr>
        <w:pStyle w:val="10"/>
        <w:spacing w:before="1" w:line="278" w:lineRule="auto"/>
        <w:ind w:right="-106" w:firstLine="420" w:firstLineChars="200"/>
        <w:rPr>
          <w:rFonts w:hint="eastAsia" w:hAnsi="Times New Roman"/>
          <w:color w:val="000000"/>
          <w:szCs w:val="20"/>
          <w:lang w:val="en-US" w:eastAsia="zh-CN" w:bidi="ar-SA"/>
        </w:rPr>
      </w:pPr>
      <w:r>
        <w:rPr>
          <w:rFonts w:hint="eastAsia" w:hAnsi="Times New Roman"/>
          <w:color w:val="000000"/>
          <w:szCs w:val="20"/>
          <w:lang w:val="en-US" w:eastAsia="zh-CN" w:bidi="ar-SA"/>
        </w:rPr>
        <w:t>全部符合本文件第5章要求的，判定为合格品，否则为不合格品。</w:t>
      </w:r>
    </w:p>
    <w:p>
      <w:pPr>
        <w:pStyle w:val="48"/>
        <w:numPr>
          <w:ilvl w:val="1"/>
          <w:numId w:val="0"/>
        </w:numPr>
        <w:rPr>
          <w:rFonts w:hint="eastAsia"/>
        </w:rPr>
      </w:pPr>
      <w:r>
        <w:rPr>
          <w:rFonts w:hint="eastAsia"/>
        </w:rPr>
        <w:t>7.2.3.2批产品的判定</w:t>
      </w:r>
    </w:p>
    <w:p>
      <w:pPr>
        <w:pStyle w:val="10"/>
        <w:spacing w:before="1" w:line="278" w:lineRule="auto"/>
        <w:ind w:right="-106" w:firstLine="420" w:firstLineChars="200"/>
        <w:rPr>
          <w:rFonts w:hint="eastAsia" w:hAnsi="Times New Roman"/>
          <w:color w:val="000000"/>
          <w:szCs w:val="20"/>
          <w:lang w:val="en-US" w:eastAsia="zh-CN" w:bidi="ar-SA"/>
        </w:rPr>
      </w:pPr>
      <w:r>
        <w:rPr>
          <w:rFonts w:hint="eastAsia" w:hAnsi="Times New Roman"/>
          <w:color w:val="000000"/>
          <w:szCs w:val="20"/>
          <w:lang w:val="en-US" w:eastAsia="zh-CN" w:bidi="ar-SA"/>
        </w:rPr>
        <w:t>按表1规定抽取样品量中，不合格品数小于或等于接收数(Ac)，应评定该批产品为合格批；不合格品数大于或等于拒收数(Re)，应判定该批产品为不合格批。</w:t>
      </w:r>
    </w:p>
    <w:p>
      <w:pPr>
        <w:pStyle w:val="48"/>
        <w:numPr>
          <w:ilvl w:val="1"/>
          <w:numId w:val="0"/>
        </w:numPr>
        <w:rPr>
          <w:rFonts w:hint="eastAsia"/>
        </w:rPr>
      </w:pPr>
      <w:r>
        <w:rPr>
          <w:rFonts w:hint="eastAsia"/>
        </w:rPr>
        <w:t>7.3型式检验</w:t>
      </w:r>
    </w:p>
    <w:p>
      <w:pPr>
        <w:pStyle w:val="48"/>
        <w:numPr>
          <w:ilvl w:val="1"/>
          <w:numId w:val="0"/>
        </w:numPr>
        <w:rPr>
          <w:rFonts w:hint="eastAsia"/>
        </w:rPr>
      </w:pPr>
      <w:r>
        <w:rPr>
          <w:rFonts w:hint="eastAsia"/>
        </w:rPr>
        <w:t>7.3.1检验项目</w:t>
      </w:r>
    </w:p>
    <w:p>
      <w:pPr>
        <w:pStyle w:val="10"/>
        <w:spacing w:before="1" w:line="278" w:lineRule="auto"/>
        <w:ind w:right="-106" w:firstLine="420" w:firstLineChars="200"/>
        <w:rPr>
          <w:rFonts w:hint="eastAsia" w:hAnsi="Times New Roman"/>
          <w:color w:val="000000"/>
          <w:szCs w:val="20"/>
          <w:lang w:val="en-US" w:eastAsia="zh-CN" w:bidi="ar-SA"/>
        </w:rPr>
      </w:pPr>
      <w:r>
        <w:rPr>
          <w:rFonts w:hint="eastAsia" w:hAnsi="Times New Roman"/>
          <w:color w:val="000000"/>
          <w:szCs w:val="20"/>
          <w:lang w:val="en-US" w:eastAsia="zh-CN" w:bidi="ar-SA"/>
        </w:rPr>
        <w:t>型式检验项目应包括第5章的全部项目。</w:t>
      </w:r>
    </w:p>
    <w:p>
      <w:pPr>
        <w:pStyle w:val="48"/>
        <w:numPr>
          <w:ilvl w:val="1"/>
          <w:numId w:val="0"/>
        </w:numPr>
        <w:rPr>
          <w:rFonts w:hint="eastAsia"/>
        </w:rPr>
      </w:pPr>
      <w:r>
        <w:rPr>
          <w:rFonts w:hint="eastAsia"/>
        </w:rPr>
        <w:t>7.3.2检验时机</w:t>
      </w:r>
    </w:p>
    <w:p>
      <w:pPr>
        <w:pStyle w:val="10"/>
        <w:ind w:firstLine="420" w:firstLineChars="200"/>
      </w:pPr>
      <w:r>
        <w:t>有下列情况之一，应进行型式检验：</w:t>
      </w:r>
    </w:p>
    <w:p>
      <w:pPr>
        <w:pStyle w:val="143"/>
        <w:numPr>
          <w:ilvl w:val="0"/>
          <w:numId w:val="18"/>
        </w:numPr>
        <w:tabs>
          <w:tab w:val="left" w:pos="1004"/>
          <w:tab w:val="left" w:pos="1005"/>
        </w:tabs>
        <w:spacing w:before="43"/>
        <w:ind w:firstLineChars="0"/>
        <w:jc w:val="left"/>
        <w:rPr>
          <w:spacing w:val="-2"/>
        </w:rPr>
      </w:pPr>
      <w:r>
        <w:rPr>
          <w:spacing w:val="-2"/>
        </w:rPr>
        <w:t>正式生产时，应定期进行检验，检验周期一般为一年；</w:t>
      </w:r>
    </w:p>
    <w:p>
      <w:pPr>
        <w:pStyle w:val="143"/>
        <w:numPr>
          <w:ilvl w:val="0"/>
          <w:numId w:val="18"/>
        </w:numPr>
        <w:tabs>
          <w:tab w:val="left" w:pos="1004"/>
          <w:tab w:val="left" w:pos="1005"/>
        </w:tabs>
        <w:spacing w:before="43"/>
        <w:ind w:firstLineChars="0"/>
        <w:jc w:val="left"/>
      </w:pPr>
      <w:r>
        <w:rPr>
          <w:spacing w:val="-2"/>
        </w:rPr>
        <w:t>原辅材料及其生产工艺发生较大变化时；</w:t>
      </w:r>
    </w:p>
    <w:p>
      <w:pPr>
        <w:pStyle w:val="143"/>
        <w:numPr>
          <w:ilvl w:val="0"/>
          <w:numId w:val="18"/>
        </w:numPr>
        <w:tabs>
          <w:tab w:val="left" w:pos="1004"/>
          <w:tab w:val="left" w:pos="1005"/>
        </w:tabs>
        <w:spacing w:before="42"/>
        <w:ind w:firstLineChars="0"/>
        <w:jc w:val="left"/>
        <w:rPr>
          <w:rFonts w:hint="eastAsia"/>
        </w:rPr>
      </w:pPr>
      <w:r>
        <w:rPr>
          <w:spacing w:val="-2"/>
        </w:rPr>
        <w:t>产品停产一年后，恢复生产时；</w:t>
      </w:r>
    </w:p>
    <w:p>
      <w:pPr>
        <w:pStyle w:val="143"/>
        <w:numPr>
          <w:ilvl w:val="0"/>
          <w:numId w:val="18"/>
        </w:numPr>
        <w:tabs>
          <w:tab w:val="left" w:pos="1004"/>
          <w:tab w:val="left" w:pos="1005"/>
        </w:tabs>
        <w:spacing w:before="42"/>
        <w:ind w:firstLineChars="0"/>
        <w:jc w:val="left"/>
      </w:pPr>
      <w:r>
        <w:rPr>
          <w:spacing w:val="-2"/>
        </w:rPr>
        <w:t>新产品或老产品的试制定型鉴定。</w:t>
      </w:r>
    </w:p>
    <w:p>
      <w:pPr>
        <w:pStyle w:val="48"/>
        <w:numPr>
          <w:ilvl w:val="1"/>
          <w:numId w:val="0"/>
        </w:numPr>
        <w:rPr>
          <w:rFonts w:hint="eastAsia"/>
        </w:rPr>
      </w:pPr>
      <w:r>
        <w:rPr>
          <w:rFonts w:hint="eastAsia"/>
        </w:rPr>
        <w:t>7.3.3抽样</w:t>
      </w:r>
    </w:p>
    <w:p>
      <w:pPr>
        <w:pStyle w:val="10"/>
        <w:spacing w:before="1" w:line="278" w:lineRule="auto"/>
        <w:ind w:right="-106" w:firstLine="420" w:firstLineChars="200"/>
        <w:rPr>
          <w:rFonts w:hint="eastAsia" w:hAnsi="Times New Roman"/>
          <w:color w:val="000000"/>
          <w:szCs w:val="20"/>
          <w:lang w:val="en-US" w:eastAsia="zh-CN" w:bidi="ar-SA"/>
        </w:rPr>
      </w:pPr>
      <w:r>
        <w:rPr>
          <w:rFonts w:hint="eastAsia" w:hAnsi="Times New Roman"/>
          <w:color w:val="000000"/>
          <w:szCs w:val="20"/>
          <w:lang w:val="en-US" w:eastAsia="zh-CN" w:bidi="ar-SA"/>
        </w:rPr>
        <w:t>在一个检验周期内，从出厂检验同一合格批产品中随机抽取2件（套）样品，1件（套）送检，1件（套）封存。</w:t>
      </w:r>
    </w:p>
    <w:p>
      <w:pPr>
        <w:pStyle w:val="48"/>
        <w:numPr>
          <w:ilvl w:val="1"/>
          <w:numId w:val="0"/>
        </w:numPr>
        <w:rPr>
          <w:sz w:val="15"/>
        </w:rPr>
      </w:pPr>
      <w:r>
        <w:rPr>
          <w:rFonts w:hint="eastAsia"/>
        </w:rPr>
        <w:t>7.3.4检验程序</w:t>
      </w:r>
    </w:p>
    <w:p>
      <w:pPr>
        <w:pStyle w:val="10"/>
        <w:spacing w:before="1" w:line="278" w:lineRule="auto"/>
        <w:ind w:right="-106" w:firstLine="420" w:firstLineChars="200"/>
        <w:rPr>
          <w:rFonts w:hint="eastAsia" w:hAnsi="Times New Roman"/>
          <w:color w:val="000000"/>
          <w:szCs w:val="20"/>
          <w:lang w:val="en-US" w:eastAsia="zh-CN" w:bidi="ar-SA"/>
        </w:rPr>
      </w:pPr>
      <w:r>
        <w:rPr>
          <w:rFonts w:hint="eastAsia" w:hAnsi="Times New Roman"/>
          <w:color w:val="000000"/>
          <w:szCs w:val="20"/>
          <w:lang w:val="en-US" w:eastAsia="zh-CN" w:bidi="ar-SA"/>
        </w:rPr>
        <w:t>检验程序应遵循尽量不影响余下检验项目正确性的原则。</w:t>
      </w:r>
    </w:p>
    <w:p>
      <w:pPr>
        <w:pStyle w:val="48"/>
        <w:numPr>
          <w:ilvl w:val="1"/>
          <w:numId w:val="0"/>
        </w:numPr>
        <w:rPr>
          <w:sz w:val="15"/>
        </w:rPr>
      </w:pPr>
      <w:r>
        <w:rPr>
          <w:rFonts w:hint="eastAsia"/>
        </w:rPr>
        <w:t>7.3.5判定规则</w:t>
      </w:r>
    </w:p>
    <w:p>
      <w:pPr>
        <w:pStyle w:val="10"/>
        <w:spacing w:before="1" w:line="278" w:lineRule="auto"/>
        <w:ind w:right="-106" w:firstLine="420" w:firstLineChars="200"/>
        <w:rPr>
          <w:rFonts w:hint="eastAsia" w:hAnsi="Times New Roman"/>
          <w:color w:val="000000"/>
          <w:szCs w:val="20"/>
          <w:lang w:val="en-US" w:eastAsia="zh-CN" w:bidi="ar-SA"/>
        </w:rPr>
      </w:pPr>
      <w:r>
        <w:rPr>
          <w:rFonts w:hint="eastAsia" w:hAnsi="Times New Roman"/>
          <w:color w:val="000000"/>
          <w:szCs w:val="20"/>
          <w:lang w:val="en-US" w:eastAsia="zh-CN" w:bidi="ar-SA"/>
        </w:rPr>
        <w:t>基本项目应合格，一般项目不合格项应不超过4项，则判定该产品为合格品，否则判定为不合格品。按7.3.3随机抽样的抽检样品全部合格，判定该批产品型式检验合格。</w:t>
      </w:r>
    </w:p>
    <w:p>
      <w:pPr>
        <w:pStyle w:val="48"/>
        <w:numPr>
          <w:ilvl w:val="1"/>
          <w:numId w:val="0"/>
        </w:numPr>
        <w:rPr>
          <w:sz w:val="15"/>
        </w:rPr>
      </w:pPr>
      <w:r>
        <w:rPr>
          <w:rFonts w:hint="eastAsia"/>
        </w:rPr>
        <w:t>7.3.6复检规则</w:t>
      </w:r>
    </w:p>
    <w:p>
      <w:pPr>
        <w:pStyle w:val="10"/>
        <w:spacing w:before="1" w:line="278" w:lineRule="auto"/>
        <w:ind w:right="-106" w:firstLine="420" w:firstLineChars="200"/>
        <w:rPr>
          <w:rFonts w:hint="eastAsia" w:hAnsi="Times New Roman"/>
          <w:color w:val="000000"/>
          <w:szCs w:val="20"/>
          <w:lang w:val="en-US" w:eastAsia="zh-CN" w:bidi="ar-SA"/>
        </w:rPr>
      </w:pPr>
      <w:r>
        <w:rPr>
          <w:rFonts w:hint="eastAsia" w:hAnsi="Times New Roman"/>
          <w:color w:val="000000"/>
          <w:szCs w:val="20"/>
          <w:lang w:val="en-US" w:eastAsia="zh-CN" w:bidi="ar-SA"/>
        </w:rPr>
        <w:t>产品经型式检验为不合格的，可对封存的备用样品进行复检。对不合格项目及因试件损坏未检项目进行检验，按7.3.5的规定进行判定，并在检验结果中注明“复检”。</w:t>
      </w:r>
    </w:p>
    <w:p>
      <w:pPr>
        <w:pStyle w:val="51"/>
        <w:rPr>
          <w:color w:val="000000"/>
        </w:rPr>
      </w:pPr>
      <w:r>
        <w:rPr>
          <w:rFonts w:hint="eastAsia"/>
          <w:color w:val="000000"/>
        </w:rPr>
        <w:t>标志、使用说明、包装</w:t>
      </w:r>
      <w:bookmarkEnd w:id="27"/>
      <w:bookmarkEnd w:id="28"/>
      <w:r>
        <w:rPr>
          <w:rFonts w:hint="eastAsia"/>
          <w:color w:val="000000"/>
        </w:rPr>
        <w:t>、贮存、运输</w:t>
      </w:r>
    </w:p>
    <w:p>
      <w:pPr>
        <w:pStyle w:val="48"/>
        <w:rPr>
          <w:rFonts w:hint="eastAsia"/>
        </w:rPr>
      </w:pPr>
      <w:r>
        <w:rPr>
          <w:rFonts w:hint="eastAsia"/>
        </w:rPr>
        <w:t>标志</w:t>
      </w:r>
    </w:p>
    <w:p>
      <w:pPr>
        <w:pStyle w:val="24"/>
      </w:pPr>
      <w:r>
        <w:rPr>
          <w:rFonts w:hint="eastAsia"/>
        </w:rPr>
        <w:t>产品标志至少应包括以下内容：</w:t>
      </w:r>
    </w:p>
    <w:p>
      <w:pPr>
        <w:pStyle w:val="51"/>
        <w:numPr>
          <w:ilvl w:val="0"/>
          <w:numId w:val="0"/>
        </w:numPr>
        <w:spacing w:before="0" w:beforeLines="0" w:after="0" w:afterLines="0"/>
        <w:ind w:firstLine="420" w:firstLineChars="200"/>
        <w:rPr>
          <w:rFonts w:ascii="宋体" w:eastAsia="宋体" w:cs="宋体"/>
          <w:color w:val="000000"/>
        </w:rPr>
      </w:pPr>
      <w:r>
        <w:rPr>
          <w:rFonts w:hint="eastAsia" w:ascii="宋体" w:eastAsia="宋体" w:cs="宋体"/>
          <w:color w:val="000000"/>
        </w:rPr>
        <w:t>a) 产品名称、规格型号；</w:t>
      </w:r>
    </w:p>
    <w:p>
      <w:pPr>
        <w:pStyle w:val="24"/>
      </w:pPr>
      <w:r>
        <w:rPr>
          <w:rFonts w:hint="eastAsia" w:cs="宋体"/>
          <w:color w:val="000000"/>
        </w:rPr>
        <w:t>b) 执行标准编号；</w:t>
      </w:r>
    </w:p>
    <w:p>
      <w:pPr>
        <w:pStyle w:val="24"/>
      </w:pPr>
      <w:r>
        <w:rPr>
          <w:rFonts w:hint="eastAsia" w:cs="宋体"/>
          <w:color w:val="000000"/>
        </w:rPr>
        <w:t>c) 产品用材名称及其使用部位；</w:t>
      </w:r>
    </w:p>
    <w:p>
      <w:pPr>
        <w:pStyle w:val="24"/>
      </w:pPr>
      <w:r>
        <w:rPr>
          <w:rFonts w:hint="eastAsia" w:cs="宋体"/>
          <w:color w:val="000000"/>
        </w:rPr>
        <w:t>d) 检验合格证明、生产日期；</w:t>
      </w:r>
    </w:p>
    <w:p>
      <w:pPr>
        <w:widowControl/>
        <w:tabs>
          <w:tab w:val="center" w:pos="4201"/>
          <w:tab w:val="right" w:leader="dot" w:pos="9298"/>
        </w:tabs>
        <w:autoSpaceDE w:val="0"/>
        <w:autoSpaceDN w:val="0"/>
        <w:ind w:firstLine="420" w:firstLineChars="200"/>
        <w:rPr>
          <w:rFonts w:hint="eastAsia" w:ascii="宋体" w:hAnsi="宋体" w:cs="宋体"/>
          <w:color w:val="000000"/>
        </w:rPr>
      </w:pPr>
      <w:r>
        <w:rPr>
          <w:rFonts w:hint="eastAsia" w:ascii="宋体" w:hAnsi="宋体" w:cs="宋体"/>
          <w:color w:val="000000"/>
        </w:rPr>
        <w:t>e) 中文生产者名称和地址；</w:t>
      </w:r>
    </w:p>
    <w:p>
      <w:pPr>
        <w:widowControl/>
        <w:tabs>
          <w:tab w:val="center" w:pos="4201"/>
          <w:tab w:val="right" w:leader="dot" w:pos="9298"/>
        </w:tabs>
        <w:autoSpaceDE w:val="0"/>
        <w:autoSpaceDN w:val="0"/>
        <w:ind w:firstLine="420" w:firstLineChars="200"/>
        <w:rPr>
          <w:rFonts w:hint="eastAsia" w:ascii="宋体" w:hAnsi="宋体" w:cs="宋体"/>
          <w:color w:val="000000"/>
          <w:kern w:val="0"/>
          <w:szCs w:val="20"/>
        </w:rPr>
      </w:pPr>
      <w:r>
        <w:rPr>
          <w:rFonts w:hint="eastAsia" w:ascii="宋体" w:hAnsi="宋体" w:cs="宋体"/>
          <w:color w:val="000000"/>
        </w:rPr>
        <w:t>f) 在易引起误操作的位置应有明显的警示标语。</w:t>
      </w:r>
    </w:p>
    <w:p>
      <w:pPr>
        <w:pStyle w:val="48"/>
        <w:rPr>
          <w:rFonts w:hint="eastAsia"/>
        </w:rPr>
      </w:pPr>
      <w:r>
        <w:rPr>
          <w:rFonts w:hint="eastAsia"/>
        </w:rPr>
        <w:t>使用说明</w:t>
      </w:r>
    </w:p>
    <w:p>
      <w:pPr>
        <w:pStyle w:val="24"/>
      </w:pPr>
      <w:r>
        <w:rPr>
          <w:rFonts w:hint="eastAsia"/>
        </w:rPr>
        <w:t>产品使用说明内容至少应包括以下内容：</w:t>
      </w:r>
    </w:p>
    <w:p>
      <w:pPr>
        <w:widowControl/>
        <w:numPr>
          <w:ilvl w:val="0"/>
          <w:numId w:val="19"/>
        </w:numPr>
        <w:tabs>
          <w:tab w:val="left" w:pos="839"/>
        </w:tabs>
        <w:rPr>
          <w:rFonts w:ascii="宋体"/>
          <w:color w:val="000000"/>
          <w:kern w:val="0"/>
          <w:szCs w:val="20"/>
        </w:rPr>
      </w:pPr>
      <w:r>
        <w:rPr>
          <w:rFonts w:hint="eastAsia" w:ascii="宋体"/>
          <w:color w:val="000000"/>
          <w:kern w:val="0"/>
          <w:szCs w:val="20"/>
        </w:rPr>
        <w:t>产品名称、规格型号；</w:t>
      </w:r>
    </w:p>
    <w:p>
      <w:pPr>
        <w:widowControl/>
        <w:numPr>
          <w:ilvl w:val="0"/>
          <w:numId w:val="19"/>
        </w:numPr>
        <w:tabs>
          <w:tab w:val="left" w:pos="839"/>
        </w:tabs>
        <w:rPr>
          <w:rFonts w:ascii="宋体"/>
          <w:color w:val="000000"/>
          <w:kern w:val="0"/>
          <w:szCs w:val="20"/>
        </w:rPr>
      </w:pPr>
      <w:r>
        <w:rPr>
          <w:rFonts w:hint="eastAsia" w:ascii="宋体"/>
          <w:color w:val="000000"/>
          <w:kern w:val="0"/>
          <w:szCs w:val="20"/>
        </w:rPr>
        <w:t>产品执行标准号；</w:t>
      </w:r>
    </w:p>
    <w:p>
      <w:pPr>
        <w:widowControl/>
        <w:numPr>
          <w:ilvl w:val="0"/>
          <w:numId w:val="19"/>
        </w:numPr>
        <w:tabs>
          <w:tab w:val="left" w:pos="839"/>
        </w:tabs>
        <w:rPr>
          <w:rFonts w:ascii="宋体"/>
          <w:color w:val="000000"/>
          <w:kern w:val="0"/>
          <w:szCs w:val="20"/>
        </w:rPr>
      </w:pPr>
      <w:r>
        <w:rPr>
          <w:rFonts w:hint="eastAsia" w:ascii="宋体"/>
          <w:color w:val="000000"/>
          <w:kern w:val="0"/>
          <w:szCs w:val="20"/>
        </w:rPr>
        <w:t>产品制造材料的名称及其使用部位；</w:t>
      </w:r>
    </w:p>
    <w:p>
      <w:pPr>
        <w:widowControl/>
        <w:numPr>
          <w:ilvl w:val="0"/>
          <w:numId w:val="19"/>
        </w:numPr>
        <w:tabs>
          <w:tab w:val="left" w:pos="839"/>
        </w:tabs>
        <w:rPr>
          <w:rFonts w:ascii="宋体"/>
          <w:color w:val="000000"/>
          <w:kern w:val="0"/>
          <w:szCs w:val="20"/>
        </w:rPr>
      </w:pPr>
      <w:r>
        <w:rPr>
          <w:rFonts w:hint="eastAsia" w:ascii="宋体"/>
          <w:color w:val="000000"/>
          <w:kern w:val="0"/>
          <w:szCs w:val="20"/>
        </w:rPr>
        <w:t>产品添加的化学成分、</w:t>
      </w:r>
      <w:r>
        <w:rPr>
          <w:rFonts w:hint="eastAsia"/>
        </w:rPr>
        <w:t>中药材（或天然植物）及其提取物等的名称；</w:t>
      </w:r>
    </w:p>
    <w:p>
      <w:pPr>
        <w:widowControl/>
        <w:numPr>
          <w:ilvl w:val="0"/>
          <w:numId w:val="19"/>
        </w:numPr>
        <w:tabs>
          <w:tab w:val="left" w:pos="839"/>
        </w:tabs>
        <w:rPr>
          <w:rFonts w:ascii="宋体"/>
          <w:color w:val="000000"/>
          <w:kern w:val="0"/>
          <w:szCs w:val="20"/>
        </w:rPr>
      </w:pPr>
      <w:r>
        <w:rPr>
          <w:rFonts w:hint="eastAsia" w:ascii="宋体"/>
          <w:color w:val="000000"/>
          <w:kern w:val="0"/>
          <w:szCs w:val="20"/>
        </w:rPr>
        <w:t>检验合格证明、生产日期；</w:t>
      </w:r>
    </w:p>
    <w:p>
      <w:pPr>
        <w:widowControl/>
        <w:numPr>
          <w:ilvl w:val="0"/>
          <w:numId w:val="19"/>
        </w:numPr>
        <w:tabs>
          <w:tab w:val="left" w:pos="839"/>
        </w:tabs>
        <w:rPr>
          <w:rFonts w:hint="eastAsia" w:ascii="宋体"/>
          <w:color w:val="000000"/>
          <w:kern w:val="0"/>
          <w:szCs w:val="20"/>
        </w:rPr>
      </w:pPr>
      <w:r>
        <w:rPr>
          <w:rFonts w:hint="eastAsia" w:ascii="宋体"/>
          <w:color w:val="000000"/>
          <w:kern w:val="0"/>
          <w:szCs w:val="20"/>
        </w:rPr>
        <w:t>中文生产者名称和地址；</w:t>
      </w:r>
    </w:p>
    <w:p>
      <w:pPr>
        <w:widowControl/>
        <w:numPr>
          <w:ilvl w:val="0"/>
          <w:numId w:val="19"/>
        </w:numPr>
        <w:tabs>
          <w:tab w:val="left" w:pos="839"/>
        </w:tabs>
        <w:rPr>
          <w:rFonts w:hint="eastAsia" w:ascii="宋体"/>
          <w:color w:val="000000"/>
          <w:kern w:val="0"/>
          <w:szCs w:val="20"/>
        </w:rPr>
      </w:pPr>
      <w:r>
        <w:rPr>
          <w:rFonts w:hint="eastAsia" w:ascii="宋体"/>
          <w:color w:val="000000"/>
          <w:kern w:val="0"/>
          <w:szCs w:val="20"/>
        </w:rPr>
        <w:t>产品安装、调试方法；</w:t>
      </w:r>
    </w:p>
    <w:p>
      <w:pPr>
        <w:widowControl/>
        <w:numPr>
          <w:ilvl w:val="0"/>
          <w:numId w:val="19"/>
        </w:numPr>
        <w:tabs>
          <w:tab w:val="left" w:pos="839"/>
        </w:tabs>
        <w:rPr>
          <w:rFonts w:hint="eastAsia" w:ascii="宋体"/>
          <w:color w:val="000000"/>
          <w:kern w:val="0"/>
          <w:szCs w:val="20"/>
        </w:rPr>
      </w:pPr>
      <w:r>
        <w:rPr>
          <w:rFonts w:hint="eastAsia" w:ascii="宋体"/>
          <w:color w:val="000000"/>
          <w:kern w:val="0"/>
          <w:szCs w:val="20"/>
        </w:rPr>
        <w:t>产品电子部件/智能操作部件的使用方法、使用效果及注意事项；</w:t>
      </w:r>
    </w:p>
    <w:p>
      <w:pPr>
        <w:widowControl/>
        <w:numPr>
          <w:ilvl w:val="0"/>
          <w:numId w:val="19"/>
        </w:numPr>
        <w:tabs>
          <w:tab w:val="left" w:pos="839"/>
        </w:tabs>
        <w:rPr>
          <w:rFonts w:hint="eastAsia" w:ascii="宋体"/>
          <w:color w:val="000000"/>
          <w:kern w:val="0"/>
          <w:szCs w:val="20"/>
        </w:rPr>
      </w:pPr>
      <w:r>
        <w:rPr>
          <w:rFonts w:hint="eastAsia" w:ascii="宋体"/>
          <w:color w:val="000000"/>
          <w:kern w:val="0"/>
          <w:szCs w:val="20"/>
        </w:rPr>
        <w:t>产品故障分析和排除、维护保养方法；</w:t>
      </w:r>
    </w:p>
    <w:p>
      <w:pPr>
        <w:widowControl/>
        <w:numPr>
          <w:ilvl w:val="0"/>
          <w:numId w:val="19"/>
        </w:numPr>
        <w:tabs>
          <w:tab w:val="left" w:pos="839"/>
        </w:tabs>
        <w:rPr>
          <w:rFonts w:hint="eastAsia" w:ascii="宋体"/>
          <w:color w:val="000000"/>
          <w:kern w:val="0"/>
          <w:szCs w:val="20"/>
        </w:rPr>
      </w:pPr>
      <w:r>
        <w:rPr>
          <w:rFonts w:hint="eastAsia" w:ascii="宋体"/>
          <w:color w:val="000000"/>
          <w:kern w:val="0"/>
          <w:szCs w:val="20"/>
        </w:rPr>
        <w:t>售后联系方式；</w:t>
      </w:r>
    </w:p>
    <w:p>
      <w:pPr>
        <w:widowControl/>
        <w:numPr>
          <w:ilvl w:val="0"/>
          <w:numId w:val="19"/>
        </w:numPr>
        <w:tabs>
          <w:tab w:val="left" w:pos="839"/>
        </w:tabs>
        <w:rPr>
          <w:rFonts w:hint="eastAsia" w:ascii="宋体"/>
          <w:color w:val="000000"/>
          <w:kern w:val="0"/>
          <w:szCs w:val="20"/>
        </w:rPr>
      </w:pPr>
      <w:r>
        <w:rPr>
          <w:rFonts w:hint="eastAsia" w:ascii="宋体"/>
          <w:color w:val="000000"/>
          <w:kern w:val="0"/>
          <w:szCs w:val="20"/>
        </w:rPr>
        <w:t>产品的有害物质限量；</w:t>
      </w:r>
    </w:p>
    <w:p>
      <w:pPr>
        <w:widowControl/>
        <w:numPr>
          <w:ilvl w:val="0"/>
          <w:numId w:val="19"/>
        </w:numPr>
        <w:tabs>
          <w:tab w:val="left" w:pos="839"/>
        </w:tabs>
        <w:rPr>
          <w:rFonts w:hint="eastAsia" w:ascii="宋体"/>
          <w:color w:val="000000"/>
          <w:kern w:val="0"/>
          <w:szCs w:val="20"/>
        </w:rPr>
      </w:pPr>
      <w:r>
        <w:rPr>
          <w:rFonts w:hint="eastAsia" w:ascii="宋体"/>
          <w:color w:val="000000"/>
          <w:kern w:val="0"/>
          <w:szCs w:val="20"/>
        </w:rPr>
        <w:t>产品的功率；</w:t>
      </w:r>
    </w:p>
    <w:p>
      <w:pPr>
        <w:widowControl/>
        <w:numPr>
          <w:ilvl w:val="0"/>
          <w:numId w:val="19"/>
        </w:numPr>
        <w:tabs>
          <w:tab w:val="left" w:pos="839"/>
        </w:tabs>
        <w:rPr>
          <w:rFonts w:hint="eastAsia" w:ascii="宋体"/>
          <w:color w:val="000000"/>
          <w:kern w:val="0"/>
          <w:szCs w:val="20"/>
        </w:rPr>
      </w:pPr>
      <w:r>
        <w:rPr>
          <w:rFonts w:hint="eastAsia" w:ascii="宋体"/>
          <w:color w:val="000000"/>
          <w:kern w:val="0"/>
          <w:szCs w:val="20"/>
        </w:rPr>
        <w:t>产品的建议使用寿命。</w:t>
      </w:r>
    </w:p>
    <w:p>
      <w:pPr>
        <w:widowControl/>
        <w:tabs>
          <w:tab w:val="center" w:pos="4201"/>
          <w:tab w:val="right" w:leader="dot" w:pos="9298"/>
        </w:tabs>
        <w:autoSpaceDE w:val="0"/>
        <w:autoSpaceDN w:val="0"/>
        <w:ind w:firstLine="420" w:firstLineChars="200"/>
        <w:rPr>
          <w:rFonts w:hint="eastAsia" w:ascii="宋体"/>
          <w:color w:val="000000"/>
          <w:kern w:val="0"/>
          <w:szCs w:val="20"/>
        </w:rPr>
      </w:pPr>
      <w:r>
        <w:rPr>
          <w:rFonts w:hint="eastAsia"/>
        </w:rPr>
        <w:t>注：（1）产品如含有化学成分、中药材（或天然植物）及其提取物等，即：所含成分发挥药理学、免疫学或者代谢作用的，需在产品可视部位及使用说明中进行明确标识；（2）如果家具的某个零部件需要热量来完成预定功能（如电茶炉），在家具的邻近发热零部件的显著位置应当有警告标识。</w:t>
      </w:r>
    </w:p>
    <w:p>
      <w:pPr>
        <w:pStyle w:val="48"/>
        <w:rPr>
          <w:rFonts w:hint="eastAsia"/>
        </w:rPr>
      </w:pPr>
      <w:r>
        <w:rPr>
          <w:rFonts w:hint="eastAsia"/>
        </w:rPr>
        <w:t>包装</w:t>
      </w:r>
    </w:p>
    <w:p>
      <w:pPr>
        <w:widowControl/>
        <w:tabs>
          <w:tab w:val="center" w:pos="4201"/>
          <w:tab w:val="right" w:leader="dot" w:pos="9298"/>
        </w:tabs>
        <w:autoSpaceDE w:val="0"/>
        <w:autoSpaceDN w:val="0"/>
        <w:ind w:firstLine="420" w:firstLineChars="200"/>
        <w:rPr>
          <w:rFonts w:hint="eastAsia"/>
          <w:color w:val="000000"/>
        </w:rPr>
      </w:pPr>
      <w:r>
        <w:rPr>
          <w:rFonts w:hint="eastAsia" w:ascii="宋体"/>
          <w:color w:val="000000"/>
          <w:kern w:val="0"/>
          <w:szCs w:val="20"/>
        </w:rPr>
        <w:t>产品应加以包装，防止磕碰、划伤和污损。</w:t>
      </w:r>
    </w:p>
    <w:p>
      <w:pPr>
        <w:pStyle w:val="48"/>
        <w:rPr>
          <w:rFonts w:hint="eastAsia"/>
        </w:rPr>
      </w:pPr>
      <w:r>
        <w:rPr>
          <w:rFonts w:hint="eastAsia"/>
        </w:rPr>
        <w:t>贮存和运输</w:t>
      </w:r>
    </w:p>
    <w:p>
      <w:pPr>
        <w:widowControl/>
        <w:tabs>
          <w:tab w:val="center" w:pos="4201"/>
          <w:tab w:val="right" w:leader="dot" w:pos="9298"/>
        </w:tabs>
        <w:autoSpaceDE w:val="0"/>
        <w:autoSpaceDN w:val="0"/>
        <w:ind w:firstLine="420" w:firstLineChars="200"/>
        <w:rPr>
          <w:rFonts w:ascii="宋体"/>
          <w:color w:val="000000"/>
          <w:kern w:val="0"/>
          <w:szCs w:val="20"/>
          <w:lang/>
        </w:rPr>
      </w:pPr>
      <w:r>
        <w:rPr>
          <w:rFonts w:hint="eastAsia" w:ascii="宋体"/>
          <w:color w:val="000000"/>
          <w:kern w:val="0"/>
          <w:szCs w:val="20"/>
          <w:lang/>
        </w:rPr>
        <w:t>产品在运输和贮存过程中应平整堆放，加以必要的防护，防止污染、虫蚀、受潮、曝晒。</w:t>
      </w:r>
    </w:p>
    <w:p>
      <w:pPr>
        <w:pStyle w:val="24"/>
        <w:rPr>
          <w:rFonts w:hint="eastAsia"/>
        </w:rPr>
      </w:pPr>
      <w:r>
        <w:rPr>
          <w:rFonts w:hint="eastAsia"/>
          <w:color w:val="000000"/>
          <w:lang/>
        </w:rPr>
        <w:t>贮存时应按类别、规格分别堆放。</w:t>
      </w:r>
    </w:p>
    <w:p>
      <w:pPr>
        <w:pStyle w:val="24"/>
        <w:rPr>
          <w:rFonts w:hint="eastAsia"/>
        </w:rPr>
      </w:pPr>
    </w:p>
    <w:p>
      <w:pPr>
        <w:pStyle w:val="24"/>
        <w:rPr>
          <w:rFonts w:hint="eastAsia"/>
        </w:rPr>
      </w:pPr>
    </w:p>
    <w:p>
      <w:pPr>
        <w:pStyle w:val="24"/>
        <w:rPr>
          <w:rFonts w:hint="eastAsia"/>
        </w:rPr>
      </w:pPr>
    </w:p>
    <w:p>
      <w:pPr>
        <w:pStyle w:val="24"/>
        <w:rPr>
          <w:rFonts w:hint="eastAsia"/>
        </w:rPr>
      </w:pPr>
    </w:p>
    <w:p>
      <w:pPr>
        <w:pStyle w:val="24"/>
        <w:rPr>
          <w:rFonts w:hint="eastAsia"/>
        </w:rPr>
      </w:pPr>
    </w:p>
    <w:p>
      <w:pPr>
        <w:pStyle w:val="24"/>
        <w:ind w:firstLine="0" w:firstLineChars="0"/>
        <w:sectPr>
          <w:headerReference r:id="rId5" w:type="default"/>
          <w:footerReference r:id="rId6" w:type="default"/>
          <w:pgSz w:w="11906" w:h="16838"/>
          <w:pgMar w:top="567" w:right="1134" w:bottom="1134" w:left="1418" w:header="1418" w:footer="1134" w:gutter="0"/>
          <w:pgNumType w:start="1"/>
          <w:cols w:space="720" w:num="1"/>
          <w:formProt w:val="0"/>
          <w:docGrid w:type="lines" w:linePitch="312" w:charSpace="0"/>
        </w:sectPr>
      </w:pPr>
    </w:p>
    <w:p>
      <w:pPr>
        <w:pStyle w:val="90"/>
        <w:tabs>
          <w:tab w:val="clear" w:pos="360"/>
        </w:tabs>
        <w:spacing w:before="850" w:after="0"/>
      </w:pPr>
    </w:p>
    <w:p>
      <w:pPr>
        <w:pStyle w:val="90"/>
        <w:numPr>
          <w:ilvl w:val="0"/>
          <w:numId w:val="0"/>
        </w:numPr>
        <w:spacing w:before="0" w:after="0"/>
        <w:rPr>
          <w:rFonts w:hint="eastAsia"/>
        </w:rPr>
      </w:pPr>
      <w:r>
        <w:rPr>
          <w:rFonts w:hint="eastAsia"/>
        </w:rPr>
        <w:t>（资料性）</w:t>
      </w:r>
    </w:p>
    <w:p>
      <w:pPr>
        <w:pStyle w:val="90"/>
        <w:numPr>
          <w:ilvl w:val="0"/>
          <w:numId w:val="0"/>
        </w:numPr>
        <w:spacing w:before="0" w:after="283"/>
      </w:pPr>
      <w:r>
        <w:rPr>
          <w:rFonts w:hint="eastAsia"/>
        </w:rPr>
        <w:t>各类家具产品及原材料标准</w:t>
      </w:r>
    </w:p>
    <w:p>
      <w:pPr>
        <w:pStyle w:val="51"/>
        <w:numPr>
          <w:ilvl w:val="0"/>
          <w:numId w:val="0"/>
        </w:numPr>
        <w:spacing w:before="156" w:beforeLines="50" w:after="156" w:afterLines="50"/>
        <w:rPr>
          <w:rFonts w:hint="eastAsia"/>
        </w:rPr>
      </w:pPr>
      <w:r>
        <w:rPr>
          <w:rFonts w:hint="eastAsia"/>
        </w:rPr>
        <w:t>A.1  各类家具产品标准</w:t>
      </w:r>
    </w:p>
    <w:p>
      <w:pPr>
        <w:pStyle w:val="24"/>
        <w:rPr>
          <w:rFonts w:hint="eastAsia"/>
        </w:rPr>
      </w:pPr>
      <w:r>
        <w:rPr>
          <w:rFonts w:hint="eastAsia"/>
        </w:rPr>
        <w:t>各类家具产品质量应符合表A.1的规定。</w:t>
      </w:r>
    </w:p>
    <w:p>
      <w:pPr>
        <w:pStyle w:val="24"/>
        <w:spacing w:before="156" w:beforeLines="50" w:after="156" w:afterLines="50"/>
        <w:ind w:firstLine="0" w:firstLineChars="0"/>
        <w:jc w:val="center"/>
        <w:rPr>
          <w:rFonts w:hint="eastAsia"/>
        </w:rPr>
      </w:pPr>
      <w:r>
        <w:rPr>
          <w:rFonts w:hint="eastAsia" w:ascii="黑体" w:hAnsi="黑体" w:eastAsia="黑体"/>
        </w:rPr>
        <w:t>表A.1　各类家具产品标准</w:t>
      </w:r>
    </w:p>
    <w:tbl>
      <w:tblPr>
        <w:tblStyle w:val="33"/>
        <w:tblW w:w="967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3969"/>
        <w:gridCol w:w="404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blHeader/>
        </w:trPr>
        <w:tc>
          <w:tcPr>
            <w:tcW w:w="1668" w:type="dxa"/>
            <w:tcBorders>
              <w:top w:val="single" w:color="000000" w:sz="12" w:space="0"/>
            </w:tcBorders>
            <w:noWrap w:val="0"/>
            <w:vAlign w:val="center"/>
          </w:tcPr>
          <w:p>
            <w:pPr>
              <w:jc w:val="center"/>
              <w:rPr>
                <w:rFonts w:ascii="宋体" w:hAnsi="宋体"/>
                <w:sz w:val="18"/>
                <w:szCs w:val="18"/>
              </w:rPr>
            </w:pPr>
            <w:r>
              <w:rPr>
                <w:rFonts w:hint="eastAsia" w:ascii="宋体" w:hAnsi="宋体"/>
                <w:sz w:val="18"/>
                <w:szCs w:val="18"/>
              </w:rPr>
              <w:t>序号</w:t>
            </w:r>
          </w:p>
        </w:tc>
        <w:tc>
          <w:tcPr>
            <w:tcW w:w="3969" w:type="dxa"/>
            <w:tcBorders>
              <w:top w:val="single" w:color="000000" w:sz="12" w:space="0"/>
            </w:tcBorders>
            <w:noWrap w:val="0"/>
            <w:vAlign w:val="center"/>
          </w:tcPr>
          <w:p>
            <w:pPr>
              <w:jc w:val="center"/>
              <w:rPr>
                <w:rFonts w:ascii="宋体" w:hAnsi="宋体"/>
                <w:sz w:val="18"/>
                <w:szCs w:val="18"/>
              </w:rPr>
            </w:pPr>
            <w:r>
              <w:rPr>
                <w:rFonts w:hint="eastAsia" w:ascii="宋体" w:hAnsi="宋体"/>
                <w:sz w:val="18"/>
                <w:szCs w:val="18"/>
              </w:rPr>
              <w:t>产品名称</w:t>
            </w:r>
          </w:p>
        </w:tc>
        <w:tc>
          <w:tcPr>
            <w:tcW w:w="4041" w:type="dxa"/>
            <w:tcBorders>
              <w:top w:val="single" w:color="000000" w:sz="12" w:space="0"/>
            </w:tcBorders>
            <w:noWrap w:val="0"/>
            <w:vAlign w:val="center"/>
          </w:tcPr>
          <w:p>
            <w:pPr>
              <w:jc w:val="center"/>
              <w:rPr>
                <w:rFonts w:ascii="宋体" w:hAnsi="宋体"/>
                <w:sz w:val="18"/>
                <w:szCs w:val="18"/>
              </w:rPr>
            </w:pPr>
            <w:r>
              <w:rPr>
                <w:rFonts w:hint="eastAsia" w:ascii="宋体" w:hAnsi="宋体"/>
                <w:sz w:val="18"/>
                <w:szCs w:val="18"/>
              </w:rPr>
              <w:t>标准编号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hint="eastAsia" w:ascii="宋体" w:hAnsi="宋体"/>
                <w:sz w:val="18"/>
                <w:szCs w:val="18"/>
              </w:rPr>
            </w:pPr>
            <w:r>
              <w:rPr>
                <w:rFonts w:hint="eastAsia" w:ascii="宋体" w:hAnsi="宋体"/>
                <w:sz w:val="18"/>
                <w:szCs w:val="18"/>
              </w:rPr>
              <w:t>1</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木家具</w:t>
            </w:r>
          </w:p>
        </w:tc>
        <w:tc>
          <w:tcPr>
            <w:tcW w:w="4041" w:type="dxa"/>
            <w:noWrap w:val="0"/>
            <w:vAlign w:val="center"/>
          </w:tcPr>
          <w:p>
            <w:pPr>
              <w:jc w:val="center"/>
              <w:rPr>
                <w:rFonts w:hint="eastAsia" w:ascii="宋体" w:hAnsi="宋体"/>
                <w:b/>
                <w:sz w:val="18"/>
                <w:szCs w:val="18"/>
              </w:rPr>
            </w:pPr>
            <w:r>
              <w:rPr>
                <w:rFonts w:hint="eastAsia" w:ascii="宋体" w:hAnsi="宋体"/>
                <w:sz w:val="18"/>
                <w:szCs w:val="18"/>
              </w:rPr>
              <w:t>GB/T 3324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hint="eastAsia" w:ascii="宋体" w:hAnsi="宋体"/>
                <w:sz w:val="18"/>
                <w:szCs w:val="18"/>
              </w:rPr>
            </w:pPr>
            <w:r>
              <w:rPr>
                <w:rFonts w:hint="eastAsia" w:ascii="宋体" w:hAnsi="宋体"/>
                <w:sz w:val="18"/>
                <w:szCs w:val="18"/>
              </w:rPr>
              <w:t>2</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金属家具</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GB/T 3325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hint="eastAsia" w:ascii="宋体" w:hAnsi="宋体"/>
                <w:sz w:val="18"/>
                <w:szCs w:val="18"/>
              </w:rPr>
            </w:pPr>
            <w:r>
              <w:rPr>
                <w:rFonts w:hint="eastAsia" w:ascii="宋体" w:hAnsi="宋体"/>
                <w:sz w:val="18"/>
                <w:szCs w:val="18"/>
              </w:rPr>
              <w:t>3</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阅览桌、椅、凳</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GB/T 14531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hint="eastAsia" w:ascii="宋体" w:hAnsi="宋体"/>
                <w:sz w:val="18"/>
                <w:szCs w:val="18"/>
              </w:rPr>
            </w:pPr>
            <w:r>
              <w:rPr>
                <w:rFonts w:hint="eastAsia" w:ascii="宋体" w:hAnsi="宋体"/>
                <w:sz w:val="18"/>
                <w:szCs w:val="18"/>
              </w:rPr>
              <w:t>4</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办公家具 木制柜、架</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GB/T 14532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hint="eastAsia" w:ascii="宋体" w:hAnsi="宋体"/>
                <w:sz w:val="18"/>
                <w:szCs w:val="18"/>
              </w:rPr>
            </w:pPr>
            <w:r>
              <w:rPr>
                <w:rFonts w:hint="eastAsia" w:ascii="宋体" w:hAnsi="宋体"/>
                <w:sz w:val="18"/>
                <w:szCs w:val="18"/>
              </w:rPr>
              <w:t>5</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儿童高椅</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GB 22793.1、GB/T 22793.2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hint="eastAsia" w:ascii="宋体" w:hAnsi="宋体"/>
                <w:sz w:val="18"/>
                <w:szCs w:val="18"/>
              </w:rPr>
            </w:pPr>
            <w:r>
              <w:rPr>
                <w:rFonts w:hint="eastAsia" w:ascii="宋体" w:hAnsi="宋体"/>
                <w:sz w:val="18"/>
                <w:szCs w:val="18"/>
              </w:rPr>
              <w:t>6</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家用双层床</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GB 24430.1、GB/T 24430.2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hint="eastAsia" w:ascii="宋体" w:hAnsi="宋体"/>
                <w:sz w:val="18"/>
                <w:szCs w:val="18"/>
              </w:rPr>
            </w:pPr>
            <w:r>
              <w:rPr>
                <w:rFonts w:hint="eastAsia" w:ascii="宋体" w:hAnsi="宋体"/>
                <w:sz w:val="18"/>
                <w:szCs w:val="18"/>
              </w:rPr>
              <w:t>7</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卫浴家具</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GB 24977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hint="eastAsia" w:ascii="宋体" w:hAnsi="宋体"/>
                <w:sz w:val="18"/>
                <w:szCs w:val="18"/>
              </w:rPr>
            </w:pPr>
            <w:r>
              <w:rPr>
                <w:rFonts w:hint="eastAsia" w:ascii="宋体" w:hAnsi="宋体"/>
                <w:sz w:val="18"/>
                <w:szCs w:val="18"/>
              </w:rPr>
              <w:t>8</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实验室家具</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GB 24820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hint="eastAsia" w:ascii="宋体" w:hAnsi="宋体"/>
                <w:sz w:val="18"/>
                <w:szCs w:val="18"/>
              </w:rPr>
            </w:pPr>
            <w:r>
              <w:rPr>
                <w:rFonts w:hint="eastAsia" w:ascii="宋体" w:hAnsi="宋体"/>
                <w:sz w:val="18"/>
                <w:szCs w:val="18"/>
              </w:rPr>
              <w:t>9</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餐桌餐椅</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GB/T 24821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10</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棕纤维弹性床垫</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GB/T 26706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90" w:hRule="atLeast"/>
        </w:trPr>
        <w:tc>
          <w:tcPr>
            <w:tcW w:w="1668" w:type="dxa"/>
            <w:noWrap w:val="0"/>
            <w:vAlign w:val="center"/>
          </w:tcPr>
          <w:p>
            <w:pPr>
              <w:jc w:val="center"/>
              <w:rPr>
                <w:rFonts w:ascii="宋体" w:hAnsi="宋体"/>
                <w:sz w:val="18"/>
                <w:szCs w:val="18"/>
              </w:rPr>
            </w:pPr>
            <w:r>
              <w:rPr>
                <w:rFonts w:hint="eastAsia" w:ascii="宋体" w:hAnsi="宋体"/>
                <w:sz w:val="18"/>
                <w:szCs w:val="18"/>
              </w:rPr>
              <w:t>11</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儿童家具</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GB 28007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12</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玻璃家具</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GB 28008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13</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红木家具</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GB 28010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14</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塑料家具</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GB/T 32487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15</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竹家具</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GB/T 32444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16</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室内用石材家具</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GB/T 33282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17</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钢制文件柜</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QB/T 1097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18</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沙发</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QB/T 1952.1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19</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弹簧软床垫</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QB/T 1952.2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20</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办公椅</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QB/T 2280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21</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木制写字桌</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QB/T 2384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22</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深色名贵硬木家具</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QB/T 2385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23</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童床和折叠小床</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QB 2453.1、QB/T 2453.2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24</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木制柜</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QB/T 2530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25</w:t>
            </w:r>
          </w:p>
        </w:tc>
        <w:tc>
          <w:tcPr>
            <w:tcW w:w="3969" w:type="dxa"/>
            <w:noWrap w:val="0"/>
            <w:vAlign w:val="center"/>
          </w:tcPr>
          <w:p>
            <w:pPr>
              <w:jc w:val="center"/>
              <w:rPr>
                <w:rFonts w:ascii="宋体" w:hAnsi="宋体"/>
                <w:sz w:val="18"/>
                <w:szCs w:val="18"/>
              </w:rPr>
            </w:pPr>
            <w:r>
              <w:rPr>
                <w:rFonts w:hint="eastAsia" w:ascii="宋体" w:hAnsi="宋体"/>
                <w:sz w:val="18"/>
                <w:szCs w:val="18"/>
              </w:rPr>
              <w:t>厨房家具</w:t>
            </w:r>
          </w:p>
        </w:tc>
        <w:tc>
          <w:tcPr>
            <w:tcW w:w="4041" w:type="dxa"/>
            <w:noWrap w:val="0"/>
            <w:vAlign w:val="center"/>
          </w:tcPr>
          <w:p>
            <w:pPr>
              <w:jc w:val="center"/>
              <w:rPr>
                <w:rFonts w:ascii="宋体" w:hAnsi="宋体"/>
                <w:sz w:val="18"/>
                <w:szCs w:val="18"/>
              </w:rPr>
            </w:pPr>
            <w:r>
              <w:rPr>
                <w:rFonts w:hint="eastAsia" w:ascii="宋体" w:hAnsi="宋体"/>
                <w:sz w:val="18"/>
                <w:szCs w:val="18"/>
              </w:rPr>
              <w:t>QB/T 2531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26</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影剧院公共座椅</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QB/T 2602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27</w:t>
            </w:r>
          </w:p>
        </w:tc>
        <w:tc>
          <w:tcPr>
            <w:tcW w:w="3969" w:type="dxa"/>
            <w:noWrap w:val="0"/>
            <w:vAlign w:val="center"/>
          </w:tcPr>
          <w:p>
            <w:pPr>
              <w:jc w:val="center"/>
              <w:rPr>
                <w:rFonts w:ascii="宋体" w:hAnsi="宋体"/>
                <w:sz w:val="18"/>
                <w:szCs w:val="18"/>
              </w:rPr>
            </w:pPr>
            <w:r>
              <w:rPr>
                <w:rFonts w:hint="eastAsia" w:ascii="宋体" w:hAnsi="宋体"/>
                <w:sz w:val="18"/>
                <w:szCs w:val="18"/>
              </w:rPr>
              <w:t>木制宾馆家具</w:t>
            </w:r>
          </w:p>
        </w:tc>
        <w:tc>
          <w:tcPr>
            <w:tcW w:w="4041" w:type="dxa"/>
            <w:noWrap w:val="0"/>
            <w:vAlign w:val="center"/>
          </w:tcPr>
          <w:p>
            <w:pPr>
              <w:jc w:val="center"/>
              <w:rPr>
                <w:rFonts w:ascii="宋体" w:hAnsi="宋体"/>
                <w:sz w:val="18"/>
                <w:szCs w:val="18"/>
              </w:rPr>
            </w:pPr>
            <w:r>
              <w:rPr>
                <w:rFonts w:hint="eastAsia" w:ascii="宋体" w:hAnsi="宋体"/>
                <w:sz w:val="18"/>
                <w:szCs w:val="18"/>
              </w:rPr>
              <w:t>QB/T 2603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28</w:t>
            </w:r>
          </w:p>
        </w:tc>
        <w:tc>
          <w:tcPr>
            <w:tcW w:w="3969" w:type="dxa"/>
            <w:noWrap w:val="0"/>
            <w:vAlign w:val="center"/>
          </w:tcPr>
          <w:p>
            <w:pPr>
              <w:jc w:val="center"/>
              <w:rPr>
                <w:rFonts w:ascii="宋体" w:hAnsi="宋体"/>
                <w:sz w:val="18"/>
                <w:szCs w:val="18"/>
              </w:rPr>
            </w:pPr>
            <w:r>
              <w:rPr>
                <w:rFonts w:hint="eastAsia" w:ascii="宋体" w:hAnsi="宋体"/>
                <w:sz w:val="18"/>
                <w:szCs w:val="18"/>
              </w:rPr>
              <w:t>学生公寓多功能家具</w:t>
            </w:r>
          </w:p>
        </w:tc>
        <w:tc>
          <w:tcPr>
            <w:tcW w:w="4041" w:type="dxa"/>
            <w:noWrap w:val="0"/>
            <w:vAlign w:val="center"/>
          </w:tcPr>
          <w:p>
            <w:pPr>
              <w:jc w:val="center"/>
              <w:rPr>
                <w:rFonts w:ascii="宋体" w:hAnsi="宋体"/>
                <w:sz w:val="18"/>
                <w:szCs w:val="18"/>
              </w:rPr>
            </w:pPr>
            <w:r>
              <w:rPr>
                <w:rFonts w:hint="eastAsia" w:ascii="宋体" w:hAnsi="宋体"/>
                <w:sz w:val="18"/>
                <w:szCs w:val="18"/>
              </w:rPr>
              <w:t>QB/T 2741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29</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课桌椅</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QB/T 4071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30</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办公家具 电脑桌</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QB/T 4156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31</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软体床</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QB/T 4190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32</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吧椅</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QB/T 4670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33</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软体家具 发泡型床垫</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QB/T 4839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34</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 xml:space="preserve"> 鞋柜</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QB/T 5588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35</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实验室家具 通风柜</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QB/T 5589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36</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婴幼儿床垫</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QB/T 5590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ascii="宋体" w:hAnsi="宋体"/>
                <w:sz w:val="18"/>
                <w:szCs w:val="18"/>
              </w:rPr>
            </w:pPr>
            <w:r>
              <w:rPr>
                <w:rFonts w:hint="eastAsia" w:ascii="宋体" w:hAnsi="宋体"/>
                <w:sz w:val="18"/>
                <w:szCs w:val="18"/>
              </w:rPr>
              <w:t>37</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单层床</w:t>
            </w:r>
          </w:p>
        </w:tc>
        <w:tc>
          <w:tcPr>
            <w:tcW w:w="4041" w:type="dxa"/>
            <w:noWrap w:val="0"/>
            <w:vAlign w:val="center"/>
          </w:tcPr>
          <w:p>
            <w:pPr>
              <w:jc w:val="center"/>
              <w:rPr>
                <w:rFonts w:hint="eastAsia" w:ascii="宋体" w:hAnsi="宋体"/>
                <w:sz w:val="18"/>
                <w:szCs w:val="18"/>
              </w:rPr>
            </w:pPr>
            <w:r>
              <w:rPr>
                <w:rFonts w:hint="eastAsia" w:ascii="宋体" w:hAnsi="宋体"/>
                <w:sz w:val="18"/>
                <w:szCs w:val="18"/>
              </w:rPr>
              <w:t>QB/T 5617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9678" w:type="dxa"/>
            <w:gridSpan w:val="3"/>
            <w:noWrap w:val="0"/>
            <w:vAlign w:val="center"/>
          </w:tcPr>
          <w:p>
            <w:pPr>
              <w:rPr>
                <w:rFonts w:ascii="宋体" w:hAnsi="宋体"/>
                <w:sz w:val="18"/>
                <w:szCs w:val="18"/>
              </w:rPr>
            </w:pPr>
            <w:r>
              <w:rPr>
                <w:rFonts w:hint="eastAsia" w:ascii="黑体" w:hAnsi="黑体" w:eastAsia="黑体"/>
                <w:sz w:val="18"/>
                <w:szCs w:val="18"/>
              </w:rPr>
              <w:t>注：</w:t>
            </w:r>
            <w:r>
              <w:rPr>
                <w:rFonts w:hint="eastAsia" w:ascii="宋体" w:hAnsi="宋体"/>
                <w:sz w:val="18"/>
                <w:szCs w:val="18"/>
              </w:rPr>
              <w:t>鼓励使用技术指标高于国家标准、行业标准的团体标准、企业标准。</w:t>
            </w:r>
          </w:p>
        </w:tc>
      </w:tr>
    </w:tbl>
    <w:p>
      <w:pPr>
        <w:pStyle w:val="51"/>
        <w:numPr>
          <w:ilvl w:val="0"/>
          <w:numId w:val="0"/>
        </w:numPr>
        <w:spacing w:before="156" w:beforeLines="50" w:after="156" w:afterLines="50"/>
        <w:rPr>
          <w:rFonts w:hint="eastAsia"/>
        </w:rPr>
      </w:pPr>
      <w:r>
        <w:rPr>
          <w:rFonts w:hint="eastAsia"/>
        </w:rPr>
        <w:t>A.2  家具原材料相关标准</w:t>
      </w:r>
    </w:p>
    <w:p>
      <w:pPr>
        <w:pStyle w:val="24"/>
        <w:rPr>
          <w:rFonts w:hint="eastAsia"/>
        </w:rPr>
      </w:pPr>
      <w:r>
        <w:rPr>
          <w:rFonts w:hint="eastAsia"/>
        </w:rPr>
        <w:t>制造家具的各类原材料质量应符合表A.2的规定。</w:t>
      </w:r>
    </w:p>
    <w:p>
      <w:pPr>
        <w:pStyle w:val="24"/>
        <w:spacing w:before="156" w:beforeLines="50" w:after="156" w:afterLines="50"/>
        <w:ind w:firstLine="0" w:firstLineChars="0"/>
        <w:jc w:val="center"/>
        <w:rPr>
          <w:rFonts w:hint="eastAsia"/>
        </w:rPr>
      </w:pPr>
      <w:r>
        <w:rPr>
          <w:rFonts w:hint="eastAsia" w:ascii="黑体" w:hAnsi="黑体" w:eastAsia="黑体"/>
        </w:rPr>
        <w:t>表A.2　原材料标准</w:t>
      </w:r>
    </w:p>
    <w:tbl>
      <w:tblPr>
        <w:tblStyle w:val="33"/>
        <w:tblW w:w="967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3969"/>
        <w:gridCol w:w="404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blHeader/>
        </w:trPr>
        <w:tc>
          <w:tcPr>
            <w:tcW w:w="1668" w:type="dxa"/>
            <w:tcBorders>
              <w:top w:val="single" w:color="000000" w:sz="12" w:space="0"/>
            </w:tcBorders>
            <w:noWrap w:val="0"/>
            <w:vAlign w:val="center"/>
          </w:tcPr>
          <w:p>
            <w:pPr>
              <w:jc w:val="center"/>
              <w:rPr>
                <w:rFonts w:hint="eastAsia" w:ascii="宋体" w:hAnsi="宋体" w:cs="宋体"/>
                <w:sz w:val="18"/>
                <w:szCs w:val="18"/>
              </w:rPr>
            </w:pPr>
            <w:r>
              <w:rPr>
                <w:rFonts w:hint="eastAsia" w:ascii="宋体" w:hAnsi="宋体" w:cs="宋体"/>
                <w:sz w:val="18"/>
                <w:szCs w:val="18"/>
              </w:rPr>
              <w:t>序号</w:t>
            </w:r>
          </w:p>
        </w:tc>
        <w:tc>
          <w:tcPr>
            <w:tcW w:w="3969" w:type="dxa"/>
            <w:tcBorders>
              <w:top w:val="single" w:color="000000" w:sz="12" w:space="0"/>
            </w:tcBorders>
            <w:noWrap w:val="0"/>
            <w:vAlign w:val="center"/>
          </w:tcPr>
          <w:p>
            <w:pPr>
              <w:jc w:val="center"/>
              <w:rPr>
                <w:rFonts w:hint="eastAsia" w:ascii="宋体" w:hAnsi="宋体" w:cs="宋体"/>
                <w:sz w:val="18"/>
                <w:szCs w:val="18"/>
              </w:rPr>
            </w:pPr>
            <w:r>
              <w:rPr>
                <w:rFonts w:hint="eastAsia" w:ascii="宋体" w:hAnsi="宋体" w:cs="宋体"/>
                <w:sz w:val="18"/>
                <w:szCs w:val="18"/>
              </w:rPr>
              <w:t>标准名称</w:t>
            </w:r>
          </w:p>
        </w:tc>
        <w:tc>
          <w:tcPr>
            <w:tcW w:w="4041" w:type="dxa"/>
            <w:tcBorders>
              <w:top w:val="single" w:color="000000" w:sz="12" w:space="0"/>
            </w:tcBorders>
            <w:noWrap w:val="0"/>
            <w:vAlign w:val="center"/>
          </w:tcPr>
          <w:p>
            <w:pPr>
              <w:jc w:val="center"/>
              <w:rPr>
                <w:rFonts w:hint="eastAsia" w:ascii="宋体" w:hAnsi="宋体" w:cs="宋体"/>
                <w:sz w:val="18"/>
                <w:szCs w:val="18"/>
              </w:rPr>
            </w:pPr>
            <w:r>
              <w:rPr>
                <w:rFonts w:hint="eastAsia" w:ascii="宋体" w:hAnsi="宋体" w:cs="宋体"/>
                <w:sz w:val="18"/>
                <w:szCs w:val="18"/>
              </w:rPr>
              <w:t>标准编号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hint="eastAsia" w:ascii="宋体" w:hAnsi="宋体" w:cs="宋体"/>
                <w:sz w:val="18"/>
                <w:szCs w:val="18"/>
              </w:rPr>
            </w:pPr>
            <w:r>
              <w:rPr>
                <w:rFonts w:hint="eastAsia" w:ascii="宋体" w:hAnsi="宋体" w:cs="宋体"/>
                <w:sz w:val="18"/>
                <w:szCs w:val="18"/>
              </w:rPr>
              <w:t>1</w:t>
            </w:r>
          </w:p>
        </w:tc>
        <w:tc>
          <w:tcPr>
            <w:tcW w:w="3969" w:type="dxa"/>
            <w:noWrap w:val="0"/>
            <w:vAlign w:val="center"/>
          </w:tcPr>
          <w:p>
            <w:pPr>
              <w:jc w:val="center"/>
              <w:rPr>
                <w:rFonts w:hint="eastAsia" w:ascii="宋体" w:hAnsi="宋体" w:cs="宋体"/>
                <w:sz w:val="18"/>
                <w:szCs w:val="18"/>
              </w:rPr>
            </w:pPr>
            <w:r>
              <w:rPr>
                <w:rFonts w:hint="eastAsia" w:ascii="宋体" w:hAnsi="宋体" w:cs="宋体"/>
                <w:sz w:val="18"/>
                <w:szCs w:val="18"/>
              </w:rPr>
              <w:t>室内装饰装修材料  木家具中有害物质限量</w:t>
            </w:r>
          </w:p>
        </w:tc>
        <w:tc>
          <w:tcPr>
            <w:tcW w:w="4041" w:type="dxa"/>
            <w:noWrap w:val="0"/>
            <w:vAlign w:val="center"/>
          </w:tcPr>
          <w:p>
            <w:pPr>
              <w:jc w:val="center"/>
              <w:rPr>
                <w:rFonts w:hint="eastAsia" w:ascii="宋体" w:hAnsi="宋体" w:cs="宋体"/>
                <w:b/>
                <w:sz w:val="18"/>
                <w:szCs w:val="18"/>
              </w:rPr>
            </w:pPr>
            <w:r>
              <w:rPr>
                <w:rFonts w:hint="eastAsia" w:ascii="宋体" w:hAnsi="宋体" w:cs="宋体"/>
                <w:sz w:val="18"/>
                <w:szCs w:val="16"/>
              </w:rPr>
              <w:t>GB 18584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hint="eastAsia" w:ascii="宋体" w:hAnsi="宋体" w:cs="宋体"/>
                <w:sz w:val="18"/>
                <w:szCs w:val="18"/>
              </w:rPr>
            </w:pPr>
            <w:r>
              <w:rPr>
                <w:rFonts w:hint="eastAsia" w:ascii="宋体" w:hAnsi="宋体" w:cs="宋体"/>
                <w:sz w:val="18"/>
                <w:szCs w:val="18"/>
              </w:rPr>
              <w:t>2</w:t>
            </w:r>
          </w:p>
        </w:tc>
        <w:tc>
          <w:tcPr>
            <w:tcW w:w="3969" w:type="dxa"/>
            <w:noWrap w:val="0"/>
            <w:vAlign w:val="center"/>
          </w:tcPr>
          <w:p>
            <w:pPr>
              <w:jc w:val="center"/>
              <w:rPr>
                <w:rFonts w:hint="eastAsia" w:ascii="宋体" w:hAnsi="宋体" w:cs="宋体"/>
                <w:sz w:val="18"/>
                <w:szCs w:val="18"/>
              </w:rPr>
            </w:pPr>
            <w:r>
              <w:rPr>
                <w:rFonts w:hint="eastAsia"/>
                <w:sz w:val="18"/>
                <w:szCs w:val="16"/>
              </w:rPr>
              <w:t xml:space="preserve"> 木材鉴别方法通则</w:t>
            </w:r>
          </w:p>
        </w:tc>
        <w:tc>
          <w:tcPr>
            <w:tcW w:w="4041" w:type="dxa"/>
            <w:noWrap w:val="0"/>
            <w:vAlign w:val="center"/>
          </w:tcPr>
          <w:p>
            <w:pPr>
              <w:jc w:val="center"/>
              <w:rPr>
                <w:rFonts w:hint="eastAsia" w:ascii="宋体" w:hAnsi="宋体" w:cs="宋体"/>
                <w:sz w:val="18"/>
                <w:szCs w:val="18"/>
              </w:rPr>
            </w:pPr>
            <w:r>
              <w:rPr>
                <w:rFonts w:hint="eastAsia" w:ascii="宋体" w:hAnsi="宋体" w:cs="宋体"/>
                <w:sz w:val="18"/>
                <w:szCs w:val="16"/>
              </w:rPr>
              <w:t>GB/T29894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hint="eastAsia" w:ascii="宋体" w:hAnsi="宋体" w:cs="宋体"/>
                <w:sz w:val="18"/>
                <w:szCs w:val="18"/>
              </w:rPr>
            </w:pPr>
            <w:r>
              <w:rPr>
                <w:rFonts w:hint="eastAsia" w:ascii="宋体" w:hAnsi="宋体" w:cs="宋体"/>
                <w:sz w:val="18"/>
                <w:szCs w:val="18"/>
              </w:rPr>
              <w:t>3</w:t>
            </w:r>
          </w:p>
        </w:tc>
        <w:tc>
          <w:tcPr>
            <w:tcW w:w="3969" w:type="dxa"/>
            <w:noWrap w:val="0"/>
            <w:vAlign w:val="center"/>
          </w:tcPr>
          <w:p>
            <w:pPr>
              <w:jc w:val="center"/>
              <w:rPr>
                <w:rFonts w:hint="eastAsia" w:ascii="宋体" w:hAnsi="宋体" w:cs="宋体"/>
                <w:sz w:val="18"/>
                <w:szCs w:val="18"/>
              </w:rPr>
            </w:pPr>
            <w:r>
              <w:rPr>
                <w:rFonts w:hint="eastAsia"/>
                <w:sz w:val="18"/>
                <w:szCs w:val="16"/>
              </w:rPr>
              <w:t>刨花板</w:t>
            </w:r>
          </w:p>
        </w:tc>
        <w:tc>
          <w:tcPr>
            <w:tcW w:w="4041" w:type="dxa"/>
            <w:noWrap w:val="0"/>
            <w:vAlign w:val="center"/>
          </w:tcPr>
          <w:p>
            <w:pPr>
              <w:jc w:val="center"/>
              <w:rPr>
                <w:rFonts w:hint="eastAsia" w:ascii="宋体" w:hAnsi="宋体" w:cs="宋体"/>
                <w:sz w:val="18"/>
                <w:szCs w:val="18"/>
              </w:rPr>
            </w:pPr>
            <w:r>
              <w:rPr>
                <w:rFonts w:hint="eastAsia" w:ascii="宋体" w:hAnsi="宋体" w:cs="宋体"/>
                <w:sz w:val="18"/>
                <w:szCs w:val="16"/>
              </w:rPr>
              <w:t>GB/T 4897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hint="eastAsia" w:ascii="宋体" w:hAnsi="宋体" w:cs="宋体"/>
                <w:sz w:val="18"/>
                <w:szCs w:val="18"/>
              </w:rPr>
            </w:pPr>
            <w:r>
              <w:rPr>
                <w:rFonts w:hint="eastAsia" w:ascii="宋体" w:hAnsi="宋体" w:cs="宋体"/>
                <w:sz w:val="18"/>
                <w:szCs w:val="18"/>
              </w:rPr>
              <w:t>4</w:t>
            </w:r>
          </w:p>
        </w:tc>
        <w:tc>
          <w:tcPr>
            <w:tcW w:w="3969" w:type="dxa"/>
            <w:noWrap w:val="0"/>
            <w:vAlign w:val="center"/>
          </w:tcPr>
          <w:p>
            <w:pPr>
              <w:jc w:val="center"/>
              <w:rPr>
                <w:rFonts w:hint="eastAsia" w:ascii="宋体" w:hAnsi="宋体" w:cs="宋体"/>
                <w:sz w:val="18"/>
                <w:szCs w:val="18"/>
              </w:rPr>
            </w:pPr>
            <w:r>
              <w:rPr>
                <w:rFonts w:hint="eastAsia"/>
                <w:sz w:val="18"/>
                <w:szCs w:val="16"/>
              </w:rPr>
              <w:t>浸渍胶膜纸饰面纤维板和刨花板</w:t>
            </w:r>
          </w:p>
        </w:tc>
        <w:tc>
          <w:tcPr>
            <w:tcW w:w="4041" w:type="dxa"/>
            <w:noWrap w:val="0"/>
            <w:vAlign w:val="center"/>
          </w:tcPr>
          <w:p>
            <w:pPr>
              <w:jc w:val="center"/>
              <w:rPr>
                <w:rFonts w:hint="eastAsia" w:ascii="宋体" w:hAnsi="宋体" w:cs="宋体"/>
                <w:sz w:val="18"/>
                <w:szCs w:val="18"/>
              </w:rPr>
            </w:pPr>
            <w:r>
              <w:rPr>
                <w:rFonts w:hint="eastAsia" w:ascii="宋体" w:hAnsi="宋体" w:cs="宋体"/>
                <w:sz w:val="18"/>
                <w:szCs w:val="16"/>
              </w:rPr>
              <w:t>GB/T 15102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hint="eastAsia" w:ascii="宋体" w:hAnsi="宋体" w:cs="宋体"/>
                <w:sz w:val="18"/>
                <w:szCs w:val="18"/>
              </w:rPr>
            </w:pPr>
            <w:r>
              <w:rPr>
                <w:rFonts w:hint="eastAsia" w:ascii="宋体" w:hAnsi="宋体" w:cs="宋体"/>
                <w:sz w:val="18"/>
                <w:szCs w:val="18"/>
              </w:rPr>
              <w:t>5</w:t>
            </w:r>
          </w:p>
        </w:tc>
        <w:tc>
          <w:tcPr>
            <w:tcW w:w="3969" w:type="dxa"/>
            <w:noWrap w:val="0"/>
            <w:vAlign w:val="center"/>
          </w:tcPr>
          <w:p>
            <w:pPr>
              <w:jc w:val="center"/>
              <w:rPr>
                <w:rFonts w:hint="eastAsia" w:ascii="宋体" w:hAnsi="宋体" w:cs="宋体"/>
                <w:sz w:val="18"/>
                <w:szCs w:val="18"/>
              </w:rPr>
            </w:pPr>
            <w:r>
              <w:rPr>
                <w:rFonts w:hint="eastAsia"/>
                <w:sz w:val="18"/>
                <w:szCs w:val="16"/>
              </w:rPr>
              <w:t>中密度纤维板</w:t>
            </w:r>
          </w:p>
        </w:tc>
        <w:tc>
          <w:tcPr>
            <w:tcW w:w="4041" w:type="dxa"/>
            <w:noWrap w:val="0"/>
            <w:vAlign w:val="center"/>
          </w:tcPr>
          <w:p>
            <w:pPr>
              <w:jc w:val="center"/>
              <w:rPr>
                <w:rFonts w:hint="eastAsia" w:ascii="宋体" w:hAnsi="宋体" w:cs="宋体"/>
                <w:sz w:val="18"/>
                <w:szCs w:val="18"/>
              </w:rPr>
            </w:pPr>
            <w:r>
              <w:rPr>
                <w:rFonts w:hint="eastAsia" w:ascii="宋体" w:hAnsi="宋体" w:cs="宋体"/>
                <w:sz w:val="18"/>
                <w:szCs w:val="16"/>
              </w:rPr>
              <w:t>GB/T 11718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hint="eastAsia" w:ascii="宋体" w:hAnsi="宋体" w:cs="宋体"/>
                <w:sz w:val="18"/>
                <w:szCs w:val="18"/>
              </w:rPr>
            </w:pPr>
            <w:r>
              <w:rPr>
                <w:rFonts w:hint="eastAsia" w:ascii="宋体" w:hAnsi="宋体" w:cs="宋体"/>
                <w:sz w:val="18"/>
                <w:szCs w:val="18"/>
              </w:rPr>
              <w:t>6</w:t>
            </w:r>
          </w:p>
        </w:tc>
        <w:tc>
          <w:tcPr>
            <w:tcW w:w="3969" w:type="dxa"/>
            <w:noWrap w:val="0"/>
            <w:vAlign w:val="center"/>
          </w:tcPr>
          <w:p>
            <w:pPr>
              <w:jc w:val="center"/>
              <w:rPr>
                <w:rFonts w:hint="eastAsia" w:ascii="宋体" w:hAnsi="宋体" w:cs="宋体"/>
                <w:sz w:val="18"/>
                <w:szCs w:val="18"/>
              </w:rPr>
            </w:pPr>
            <w:r>
              <w:rPr>
                <w:rFonts w:hint="eastAsia"/>
                <w:sz w:val="18"/>
                <w:szCs w:val="16"/>
              </w:rPr>
              <w:t>塑料家具通用技术条件</w:t>
            </w:r>
          </w:p>
        </w:tc>
        <w:tc>
          <w:tcPr>
            <w:tcW w:w="4041" w:type="dxa"/>
            <w:noWrap w:val="0"/>
            <w:vAlign w:val="center"/>
          </w:tcPr>
          <w:p>
            <w:pPr>
              <w:jc w:val="center"/>
              <w:rPr>
                <w:rFonts w:hint="eastAsia" w:ascii="宋体" w:hAnsi="宋体" w:cs="宋体"/>
                <w:sz w:val="18"/>
                <w:szCs w:val="18"/>
              </w:rPr>
            </w:pPr>
            <w:r>
              <w:rPr>
                <w:rFonts w:hint="eastAsia" w:ascii="宋体" w:hAnsi="宋体" w:cs="宋体"/>
                <w:sz w:val="18"/>
                <w:szCs w:val="16"/>
              </w:rPr>
              <w:t>GB/T 32487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hint="eastAsia" w:ascii="宋体" w:hAnsi="宋体" w:cs="宋体"/>
                <w:sz w:val="18"/>
                <w:szCs w:val="18"/>
              </w:rPr>
            </w:pPr>
            <w:r>
              <w:rPr>
                <w:rFonts w:hint="eastAsia" w:ascii="宋体" w:hAnsi="宋体" w:cs="宋体"/>
                <w:sz w:val="18"/>
                <w:szCs w:val="18"/>
              </w:rPr>
              <w:t>7</w:t>
            </w:r>
          </w:p>
        </w:tc>
        <w:tc>
          <w:tcPr>
            <w:tcW w:w="3969" w:type="dxa"/>
            <w:noWrap w:val="0"/>
            <w:vAlign w:val="center"/>
          </w:tcPr>
          <w:p>
            <w:pPr>
              <w:jc w:val="center"/>
              <w:rPr>
                <w:rFonts w:hint="eastAsia" w:ascii="宋体" w:hAnsi="宋体" w:cs="宋体"/>
                <w:sz w:val="18"/>
                <w:szCs w:val="18"/>
              </w:rPr>
            </w:pPr>
            <w:r>
              <w:rPr>
                <w:rFonts w:hint="eastAsia"/>
                <w:sz w:val="18"/>
                <w:szCs w:val="16"/>
              </w:rPr>
              <w:t>塑料家具中有害物质限量</w:t>
            </w:r>
          </w:p>
        </w:tc>
        <w:tc>
          <w:tcPr>
            <w:tcW w:w="4041" w:type="dxa"/>
            <w:noWrap w:val="0"/>
            <w:vAlign w:val="center"/>
          </w:tcPr>
          <w:p>
            <w:pPr>
              <w:jc w:val="center"/>
              <w:rPr>
                <w:rFonts w:hint="eastAsia" w:ascii="宋体" w:hAnsi="宋体" w:cs="宋体"/>
                <w:sz w:val="18"/>
                <w:szCs w:val="18"/>
              </w:rPr>
            </w:pPr>
            <w:r>
              <w:rPr>
                <w:rFonts w:hint="eastAsia" w:ascii="宋体" w:hAnsi="宋体" w:cs="宋体"/>
                <w:sz w:val="18"/>
                <w:szCs w:val="16"/>
              </w:rPr>
              <w:t>GB 28481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trHeight w:val="330" w:hRule="atLeast"/>
        </w:trPr>
        <w:tc>
          <w:tcPr>
            <w:tcW w:w="1668" w:type="dxa"/>
            <w:noWrap w:val="0"/>
            <w:vAlign w:val="center"/>
          </w:tcPr>
          <w:p>
            <w:pPr>
              <w:jc w:val="center"/>
              <w:rPr>
                <w:rFonts w:hint="eastAsia" w:ascii="宋体" w:hAnsi="宋体" w:cs="宋体"/>
                <w:sz w:val="18"/>
                <w:szCs w:val="18"/>
              </w:rPr>
            </w:pPr>
            <w:r>
              <w:rPr>
                <w:rFonts w:hint="eastAsia" w:ascii="宋体" w:hAnsi="宋体" w:cs="宋体"/>
                <w:sz w:val="18"/>
                <w:szCs w:val="18"/>
              </w:rPr>
              <w:t>8</w:t>
            </w:r>
          </w:p>
        </w:tc>
        <w:tc>
          <w:tcPr>
            <w:tcW w:w="3969" w:type="dxa"/>
            <w:noWrap w:val="0"/>
            <w:vAlign w:val="center"/>
          </w:tcPr>
          <w:p>
            <w:pPr>
              <w:jc w:val="center"/>
              <w:rPr>
                <w:rFonts w:hint="eastAsia" w:ascii="宋体" w:hAnsi="宋体" w:cs="宋体"/>
                <w:sz w:val="18"/>
                <w:szCs w:val="18"/>
              </w:rPr>
            </w:pPr>
            <w:r>
              <w:rPr>
                <w:rFonts w:hint="eastAsia"/>
                <w:sz w:val="18"/>
                <w:szCs w:val="16"/>
              </w:rPr>
              <w:t>国家纺织产品基本安全技术规范</w:t>
            </w:r>
          </w:p>
        </w:tc>
        <w:tc>
          <w:tcPr>
            <w:tcW w:w="4041" w:type="dxa"/>
            <w:noWrap w:val="0"/>
            <w:vAlign w:val="center"/>
          </w:tcPr>
          <w:p>
            <w:pPr>
              <w:jc w:val="center"/>
              <w:rPr>
                <w:rFonts w:hint="eastAsia" w:ascii="宋体" w:hAnsi="宋体" w:cs="宋体"/>
                <w:sz w:val="18"/>
                <w:szCs w:val="18"/>
              </w:rPr>
            </w:pPr>
            <w:r>
              <w:rPr>
                <w:rFonts w:hint="eastAsia" w:ascii="宋体" w:hAnsi="宋体" w:cs="宋体"/>
                <w:sz w:val="18"/>
                <w:szCs w:val="16"/>
              </w:rPr>
              <w:t>GB 18401</w:t>
            </w:r>
          </w:p>
        </w:tc>
      </w:tr>
    </w:tbl>
    <w:p>
      <w:pPr>
        <w:pStyle w:val="90"/>
        <w:numPr>
          <w:ilvl w:val="0"/>
          <w:numId w:val="0"/>
        </w:numPr>
        <w:jc w:val="both"/>
        <w:rPr>
          <w:rFonts w:hint="eastAsia" w:ascii="宋体" w:eastAsia="宋体"/>
          <w:lang/>
        </w:rPr>
      </w:pPr>
    </w:p>
    <w:p>
      <w:pPr>
        <w:pStyle w:val="90"/>
        <w:numPr>
          <w:ilvl w:val="0"/>
          <w:numId w:val="0"/>
        </w:numPr>
        <w:jc w:val="both"/>
        <w:sectPr>
          <w:pgSz w:w="11906" w:h="16838"/>
          <w:pgMar w:top="567" w:right="1134" w:bottom="1134" w:left="1418" w:header="1418" w:footer="1134" w:gutter="0"/>
          <w:pgNumType w:start="1"/>
          <w:cols w:space="720" w:num="1"/>
          <w:formProt w:val="0"/>
          <w:docGrid w:type="lines" w:linePitch="312" w:charSpace="0"/>
        </w:sectPr>
      </w:pPr>
    </w:p>
    <w:p>
      <w:pPr>
        <w:pStyle w:val="90"/>
        <w:tabs>
          <w:tab w:val="clear" w:pos="360"/>
        </w:tabs>
        <w:spacing w:before="850" w:after="0"/>
      </w:pPr>
    </w:p>
    <w:p>
      <w:pPr>
        <w:pStyle w:val="90"/>
        <w:numPr>
          <w:ilvl w:val="0"/>
          <w:numId w:val="0"/>
        </w:numPr>
        <w:spacing w:before="0" w:after="0"/>
        <w:rPr>
          <w:rFonts w:hint="eastAsia"/>
        </w:rPr>
      </w:pPr>
      <w:r>
        <w:rPr>
          <w:rFonts w:hint="eastAsia"/>
        </w:rPr>
        <w:t>（规范性）</w:t>
      </w:r>
    </w:p>
    <w:p>
      <w:pPr>
        <w:pStyle w:val="90"/>
        <w:numPr>
          <w:ilvl w:val="0"/>
          <w:numId w:val="0"/>
        </w:numPr>
        <w:spacing w:before="0" w:after="283"/>
      </w:pPr>
      <w:r>
        <w:rPr>
          <w:rFonts w:hint="eastAsia"/>
        </w:rPr>
        <w:t>公共场所</w:t>
      </w:r>
    </w:p>
    <w:p>
      <w:pPr>
        <w:pStyle w:val="51"/>
        <w:numPr>
          <w:ilvl w:val="0"/>
          <w:numId w:val="0"/>
        </w:numPr>
        <w:spacing w:before="156" w:beforeLines="50" w:after="156" w:afterLines="50"/>
        <w:ind w:firstLine="420" w:firstLineChars="200"/>
        <w:rPr>
          <w:rFonts w:hint="eastAsia"/>
        </w:rPr>
      </w:pPr>
      <w:r>
        <w:rPr>
          <w:rFonts w:hint="eastAsia" w:ascii="宋体" w:hAnsi="宋体" w:eastAsia="宋体"/>
        </w:rPr>
        <w:t>公安部令第61号《机关、团体、企业、事业单位消防安全管理规定》对公共场所的界定是：</w:t>
      </w:r>
    </w:p>
    <w:p>
      <w:pPr>
        <w:pStyle w:val="24"/>
        <w:ind w:firstLineChars="0"/>
        <w:rPr>
          <w:rFonts w:hint="eastAsia"/>
        </w:rPr>
      </w:pPr>
      <w:r>
        <w:t>a）</w:t>
      </w:r>
      <w:r>
        <w:rPr>
          <w:rFonts w:hint="eastAsia"/>
        </w:rPr>
        <w:t>商场（市场）、宾馆（饭店）、体育场（馆）、会堂、公共娱乐场所等公众聚集场所（统称公众聚集场所）；</w:t>
      </w:r>
    </w:p>
    <w:p>
      <w:pPr>
        <w:pStyle w:val="24"/>
        <w:ind w:firstLineChars="0"/>
        <w:rPr>
          <w:rFonts w:hint="eastAsia"/>
        </w:rPr>
      </w:pPr>
      <w:r>
        <w:rPr>
          <w:rFonts w:hint="eastAsia"/>
        </w:rPr>
        <w:t>b）医院、养老院和寄宿制的学校、托儿所、幼儿园；</w:t>
      </w:r>
    </w:p>
    <w:p>
      <w:pPr>
        <w:pStyle w:val="24"/>
        <w:ind w:firstLineChars="0"/>
        <w:rPr>
          <w:rFonts w:hint="eastAsia"/>
        </w:rPr>
      </w:pPr>
      <w:r>
        <w:rPr>
          <w:rFonts w:hint="eastAsia"/>
        </w:rPr>
        <w:t>c）客运车站、码头、民用机场；</w:t>
      </w:r>
    </w:p>
    <w:p>
      <w:pPr>
        <w:pStyle w:val="24"/>
        <w:rPr>
          <w:rFonts w:hint="eastAsia"/>
        </w:rPr>
      </w:pPr>
      <w:r>
        <w:rPr>
          <w:rFonts w:hint="eastAsia"/>
        </w:rPr>
        <w:t>d）公共图书馆、展览馆、博物馆、档案馆以及具有火灾危险性的文物保护单位。</w:t>
      </w:r>
    </w:p>
    <w:p>
      <w:pPr>
        <w:pStyle w:val="24"/>
        <w:rPr>
          <w:rFonts w:hint="eastAsia"/>
        </w:rPr>
      </w:pPr>
    </w:p>
    <w:p>
      <w:pPr>
        <w:pStyle w:val="24"/>
        <w:rPr>
          <w:rFonts w:hint="eastAsia"/>
        </w:rPr>
      </w:pPr>
    </w:p>
    <w:p>
      <w:pPr>
        <w:pStyle w:val="135"/>
        <w:rPr>
          <w:rFonts w:hint="eastAsia"/>
        </w:rPr>
      </w:pPr>
      <w:r>
        <w:t>_________________________________</w:t>
      </w:r>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fldChar w:fldCharType="begin"/>
    </w:r>
    <w:r>
      <w:instrText xml:space="preserve"> PAGE  \* MERGEFORMAT </w:instrText>
    </w:r>
    <w:r>
      <w:fldChar w:fldCharType="separate"/>
    </w:r>
    <w:r>
      <w:rPr>
        <w:lang/>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fldChar w:fldCharType="begin"/>
    </w:r>
    <w:r>
      <w:instrText xml:space="preserve"> PAGE  \* MERGEFORMAT </w:instrText>
    </w:r>
    <w:r>
      <w:fldChar w:fldCharType="separate"/>
    </w:r>
    <w:r>
      <w:rPr>
        <w:lang/>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t>GB</w:t>
    </w:r>
    <w:r>
      <w:rPr>
        <w:rFonts w:hint="eastAsia"/>
      </w:rPr>
      <w:t>XXXX</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t>GB/T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5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2"/>
      <w:suff w:val="nothing"/>
      <w:lvlText w:val="%1.%2.%3　"/>
      <w:lvlJc w:val="left"/>
      <w:pPr>
        <w:ind w:left="0" w:firstLine="0"/>
      </w:pPr>
      <w:rPr>
        <w:rFonts w:hint="eastAsia" w:ascii="黑体" w:hAnsi="Times New Roman" w:eastAsia="黑体"/>
        <w:b w:val="0"/>
        <w:i w:val="0"/>
        <w:sz w:val="21"/>
      </w:rPr>
    </w:lvl>
    <w:lvl w:ilvl="3" w:tentative="0">
      <w:start w:val="1"/>
      <w:numFmt w:val="decimal"/>
      <w:pStyle w:val="57"/>
      <w:suff w:val="nothing"/>
      <w:lvlText w:val="%1.%2.%3.%4　"/>
      <w:lvlJc w:val="left"/>
      <w:pPr>
        <w:ind w:left="0" w:firstLine="0"/>
      </w:pPr>
      <w:rPr>
        <w:rFonts w:hint="eastAsia" w:ascii="黑体" w:hAnsi="Times New Roman" w:eastAsia="黑体"/>
        <w:b w:val="0"/>
        <w:i w:val="0"/>
        <w:sz w:val="21"/>
      </w:rPr>
    </w:lvl>
    <w:lvl w:ilvl="4" w:tentative="0">
      <w:start w:val="1"/>
      <w:numFmt w:val="decimal"/>
      <w:pStyle w:val="61"/>
      <w:suff w:val="nothing"/>
      <w:lvlText w:val="%1.%2.%3.%4.%5　"/>
      <w:lvlJc w:val="left"/>
      <w:pPr>
        <w:ind w:left="0" w:firstLine="0"/>
      </w:pPr>
      <w:rPr>
        <w:rFonts w:hint="eastAsia" w:ascii="黑体" w:hAnsi="Times New Roman" w:eastAsia="黑体"/>
        <w:b w:val="0"/>
        <w:i w:val="0"/>
        <w:sz w:val="21"/>
      </w:rPr>
    </w:lvl>
    <w:lvl w:ilvl="5" w:tentative="0">
      <w:start w:val="1"/>
      <w:numFmt w:val="decimal"/>
      <w:pStyle w:val="6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04"/>
      <w:suff w:val="space"/>
      <w:lvlText w:val="%1"/>
      <w:lvlJc w:val="left"/>
      <w:pPr>
        <w:ind w:left="623" w:hanging="425"/>
      </w:pPr>
      <w:rPr>
        <w:rFonts w:hint="eastAsia"/>
      </w:rPr>
    </w:lvl>
    <w:lvl w:ilvl="1" w:tentative="0">
      <w:start w:val="1"/>
      <w:numFmt w:val="decimal"/>
      <w:pStyle w:val="10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4"/>
      <w:suff w:val="nothing"/>
      <w:lvlText w:val="%1——"/>
      <w:lvlJc w:val="left"/>
      <w:pPr>
        <w:ind w:left="833" w:hanging="408"/>
      </w:pPr>
      <w:rPr>
        <w:rFonts w:hint="eastAsia"/>
      </w:rPr>
    </w:lvl>
    <w:lvl w:ilvl="1" w:tentative="0">
      <w:start w:val="1"/>
      <w:numFmt w:val="bullet"/>
      <w:pStyle w:val="55"/>
      <w:lvlText w:val=""/>
      <w:lvlJc w:val="left"/>
      <w:pPr>
        <w:tabs>
          <w:tab w:val="left" w:pos="760"/>
        </w:tabs>
        <w:ind w:left="1264" w:hanging="413"/>
      </w:pPr>
      <w:rPr>
        <w:rFonts w:hint="default" w:ascii="Symbol" w:hAnsi="Symbol"/>
        <w:color w:val="auto"/>
      </w:rPr>
    </w:lvl>
    <w:lvl w:ilvl="2" w:tentative="0">
      <w:start w:val="1"/>
      <w:numFmt w:val="bullet"/>
      <w:pStyle w:val="6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6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0"/>
      <w:lvlText w:val="%2)"/>
      <w:lvlJc w:val="left"/>
      <w:pPr>
        <w:tabs>
          <w:tab w:val="left" w:pos="1260"/>
        </w:tabs>
        <w:ind w:left="1259" w:hanging="419"/>
      </w:pPr>
      <w:rPr>
        <w:rFonts w:hint="eastAsia"/>
      </w:rPr>
    </w:lvl>
    <w:lvl w:ilvl="2" w:tentative="0">
      <w:start w:val="1"/>
      <w:numFmt w:val="decimal"/>
      <w:pStyle w:val="6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6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3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92"/>
      <w:lvlText w:val="%1"/>
      <w:lvlJc w:val="left"/>
      <w:pPr>
        <w:tabs>
          <w:tab w:val="left" w:pos="0"/>
        </w:tabs>
        <w:ind w:left="0" w:hanging="425"/>
      </w:pPr>
      <w:rPr>
        <w:rFonts w:hint="eastAsia"/>
      </w:rPr>
    </w:lvl>
    <w:lvl w:ilvl="1" w:tentative="0">
      <w:start w:val="1"/>
      <w:numFmt w:val="decimal"/>
      <w:pStyle w:val="9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9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9"/>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99"/>
      <w:suff w:val="nothing"/>
      <w:lvlText w:val="%1.%2.%3.%4.%5　"/>
      <w:lvlJc w:val="left"/>
      <w:pPr>
        <w:ind w:left="0" w:firstLine="0"/>
      </w:pPr>
      <w:rPr>
        <w:rFonts w:hint="eastAsia" w:ascii="黑体" w:hAnsi="Times New Roman" w:eastAsia="黑体"/>
        <w:b w:val="0"/>
        <w:i w:val="0"/>
        <w:sz w:val="21"/>
      </w:rPr>
    </w:lvl>
    <w:lvl w:ilvl="5" w:tentative="0">
      <w:start w:val="1"/>
      <w:numFmt w:val="decimal"/>
      <w:pStyle w:val="102"/>
      <w:suff w:val="nothing"/>
      <w:lvlText w:val="%1.%2.%3.%4.%5.%6　"/>
      <w:lvlJc w:val="left"/>
      <w:pPr>
        <w:ind w:left="0" w:firstLine="0"/>
      </w:pPr>
      <w:rPr>
        <w:rFonts w:hint="eastAsia" w:ascii="黑体" w:hAnsi="Times New Roman" w:eastAsia="黑体"/>
        <w:b w:val="0"/>
        <w:i w:val="0"/>
        <w:sz w:val="21"/>
      </w:rPr>
    </w:lvl>
    <w:lvl w:ilvl="6" w:tentative="0">
      <w:start w:val="1"/>
      <w:numFmt w:val="decimal"/>
      <w:pStyle w:val="10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11"/>
      <w:lvlText w:val="%1)"/>
      <w:lvlJc w:val="left"/>
      <w:pPr>
        <w:tabs>
          <w:tab w:val="left" w:pos="839"/>
        </w:tabs>
        <w:ind w:left="839" w:hanging="419"/>
      </w:pPr>
      <w:rPr>
        <w:rFonts w:hint="eastAsia" w:ascii="宋体" w:eastAsia="宋体"/>
        <w:b w:val="0"/>
        <w:i w:val="0"/>
        <w:sz w:val="21"/>
      </w:rPr>
    </w:lvl>
    <w:lvl w:ilvl="1" w:tentative="0">
      <w:start w:val="1"/>
      <w:numFmt w:val="decimal"/>
      <w:pStyle w:val="10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6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78787333"/>
    <w:multiLevelType w:val="multilevel"/>
    <w:tmpl w:val="78787333"/>
    <w:lvl w:ilvl="0" w:tentative="0">
      <w:start w:val="1"/>
      <w:numFmt w:val="lowerLetter"/>
      <w:lvlText w:val="%1)"/>
      <w:lvlJc w:val="left"/>
      <w:pPr>
        <w:ind w:left="780" w:hanging="360"/>
      </w:pPr>
      <w:rPr>
        <w:rFonts w:hint="default" w:ascii="宋体" w:cs="宋体"/>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1NzhmNjg2MmE4MjU5ZmEyY2RjYWVjOWM2ZjAxYTkifQ=="/>
  </w:docVars>
  <w:rsids>
    <w:rsidRoot w:val="2AE439FA"/>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0F6369"/>
    <w:rsid w:val="001056DE"/>
    <w:rsid w:val="001124C0"/>
    <w:rsid w:val="0013175F"/>
    <w:rsid w:val="001512B4"/>
    <w:rsid w:val="0015168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1F62F9"/>
    <w:rsid w:val="00201AD4"/>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2F3810"/>
    <w:rsid w:val="00301F39"/>
    <w:rsid w:val="003216B1"/>
    <w:rsid w:val="00325926"/>
    <w:rsid w:val="00327A8A"/>
    <w:rsid w:val="00336610"/>
    <w:rsid w:val="00343F73"/>
    <w:rsid w:val="00345060"/>
    <w:rsid w:val="0035323B"/>
    <w:rsid w:val="003609D2"/>
    <w:rsid w:val="00360A5C"/>
    <w:rsid w:val="00363F22"/>
    <w:rsid w:val="00375564"/>
    <w:rsid w:val="00383191"/>
    <w:rsid w:val="00386DED"/>
    <w:rsid w:val="003912E7"/>
    <w:rsid w:val="00393947"/>
    <w:rsid w:val="003A2275"/>
    <w:rsid w:val="003A6A4F"/>
    <w:rsid w:val="003A7088"/>
    <w:rsid w:val="003B00DF"/>
    <w:rsid w:val="003B1275"/>
    <w:rsid w:val="003B1778"/>
    <w:rsid w:val="003B5296"/>
    <w:rsid w:val="003C11CB"/>
    <w:rsid w:val="003C75F3"/>
    <w:rsid w:val="003C78A3"/>
    <w:rsid w:val="003E1867"/>
    <w:rsid w:val="003E5729"/>
    <w:rsid w:val="003F4EE0"/>
    <w:rsid w:val="00402153"/>
    <w:rsid w:val="004021FD"/>
    <w:rsid w:val="00402FC1"/>
    <w:rsid w:val="004139B3"/>
    <w:rsid w:val="00425082"/>
    <w:rsid w:val="00431DEB"/>
    <w:rsid w:val="00446B29"/>
    <w:rsid w:val="00453F9A"/>
    <w:rsid w:val="00471E91"/>
    <w:rsid w:val="00474675"/>
    <w:rsid w:val="0047470C"/>
    <w:rsid w:val="004A35F9"/>
    <w:rsid w:val="004B24C1"/>
    <w:rsid w:val="004C292F"/>
    <w:rsid w:val="004D49E1"/>
    <w:rsid w:val="004F77FC"/>
    <w:rsid w:val="00510280"/>
    <w:rsid w:val="00513D73"/>
    <w:rsid w:val="00514A43"/>
    <w:rsid w:val="005174E5"/>
    <w:rsid w:val="00522393"/>
    <w:rsid w:val="00522620"/>
    <w:rsid w:val="00525656"/>
    <w:rsid w:val="00534C02"/>
    <w:rsid w:val="0054264B"/>
    <w:rsid w:val="00543786"/>
    <w:rsid w:val="005533D7"/>
    <w:rsid w:val="005647A0"/>
    <w:rsid w:val="005703DE"/>
    <w:rsid w:val="0058464E"/>
    <w:rsid w:val="00594E2B"/>
    <w:rsid w:val="005A01CB"/>
    <w:rsid w:val="005A58FF"/>
    <w:rsid w:val="005A5EAF"/>
    <w:rsid w:val="005A64C0"/>
    <w:rsid w:val="005B3C11"/>
    <w:rsid w:val="005C1C28"/>
    <w:rsid w:val="005C6DB5"/>
    <w:rsid w:val="005E19E7"/>
    <w:rsid w:val="00600190"/>
    <w:rsid w:val="0061716C"/>
    <w:rsid w:val="006243A1"/>
    <w:rsid w:val="00624DF0"/>
    <w:rsid w:val="00632E56"/>
    <w:rsid w:val="00635CBA"/>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63502"/>
    <w:rsid w:val="007637AB"/>
    <w:rsid w:val="007913AB"/>
    <w:rsid w:val="007914F7"/>
    <w:rsid w:val="007B1625"/>
    <w:rsid w:val="007B3D1B"/>
    <w:rsid w:val="007B706E"/>
    <w:rsid w:val="007B71EB"/>
    <w:rsid w:val="007C4039"/>
    <w:rsid w:val="007C6205"/>
    <w:rsid w:val="007C686A"/>
    <w:rsid w:val="007C728E"/>
    <w:rsid w:val="007D2C53"/>
    <w:rsid w:val="007D3D60"/>
    <w:rsid w:val="007E1980"/>
    <w:rsid w:val="007E4B76"/>
    <w:rsid w:val="007E5EA8"/>
    <w:rsid w:val="007F0CF1"/>
    <w:rsid w:val="007F12A5"/>
    <w:rsid w:val="007F4C20"/>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C1B58"/>
    <w:rsid w:val="008C39AE"/>
    <w:rsid w:val="008C590D"/>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9F14B5"/>
    <w:rsid w:val="00A02E43"/>
    <w:rsid w:val="00A065F9"/>
    <w:rsid w:val="00A07F34"/>
    <w:rsid w:val="00A22154"/>
    <w:rsid w:val="00A25C38"/>
    <w:rsid w:val="00A36BBE"/>
    <w:rsid w:val="00A4307A"/>
    <w:rsid w:val="00A47EBB"/>
    <w:rsid w:val="00A51CDD"/>
    <w:rsid w:val="00A6730D"/>
    <w:rsid w:val="00A71625"/>
    <w:rsid w:val="00A71B9B"/>
    <w:rsid w:val="00A751C7"/>
    <w:rsid w:val="00A87844"/>
    <w:rsid w:val="00AA038C"/>
    <w:rsid w:val="00AA7A09"/>
    <w:rsid w:val="00AB3B50"/>
    <w:rsid w:val="00AC05B1"/>
    <w:rsid w:val="00AD356C"/>
    <w:rsid w:val="00AE2914"/>
    <w:rsid w:val="00AE6D15"/>
    <w:rsid w:val="00B04182"/>
    <w:rsid w:val="00B07AE3"/>
    <w:rsid w:val="00B11430"/>
    <w:rsid w:val="00B12981"/>
    <w:rsid w:val="00B353EB"/>
    <w:rsid w:val="00B439C4"/>
    <w:rsid w:val="00B4535E"/>
    <w:rsid w:val="00B52A8C"/>
    <w:rsid w:val="00B636A8"/>
    <w:rsid w:val="00B665C6"/>
    <w:rsid w:val="00B805AF"/>
    <w:rsid w:val="00B869EC"/>
    <w:rsid w:val="00B9397A"/>
    <w:rsid w:val="00B9633D"/>
    <w:rsid w:val="00BA2EBE"/>
    <w:rsid w:val="00BB0F28"/>
    <w:rsid w:val="00BB458A"/>
    <w:rsid w:val="00BC5D5D"/>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7AB"/>
    <w:rsid w:val="00C65BCC"/>
    <w:rsid w:val="00C66970"/>
    <w:rsid w:val="00C8691C"/>
    <w:rsid w:val="00CA168A"/>
    <w:rsid w:val="00CA357E"/>
    <w:rsid w:val="00CA44F9"/>
    <w:rsid w:val="00CA4A69"/>
    <w:rsid w:val="00CC3E0C"/>
    <w:rsid w:val="00CC58D3"/>
    <w:rsid w:val="00CC784D"/>
    <w:rsid w:val="00CF62D0"/>
    <w:rsid w:val="00D0337B"/>
    <w:rsid w:val="00D079B2"/>
    <w:rsid w:val="00D114E9"/>
    <w:rsid w:val="00D14785"/>
    <w:rsid w:val="00D173AC"/>
    <w:rsid w:val="00D34EA9"/>
    <w:rsid w:val="00D429C6"/>
    <w:rsid w:val="00D47748"/>
    <w:rsid w:val="00D54CC3"/>
    <w:rsid w:val="00D6041A"/>
    <w:rsid w:val="00D633EB"/>
    <w:rsid w:val="00D65451"/>
    <w:rsid w:val="00D82FF7"/>
    <w:rsid w:val="00D847FE"/>
    <w:rsid w:val="00D964EA"/>
    <w:rsid w:val="00D966D0"/>
    <w:rsid w:val="00DA0C59"/>
    <w:rsid w:val="00DA3991"/>
    <w:rsid w:val="00DB7E6C"/>
    <w:rsid w:val="00DD5A29"/>
    <w:rsid w:val="00DD5D9D"/>
    <w:rsid w:val="00DE35CB"/>
    <w:rsid w:val="00DF21E9"/>
    <w:rsid w:val="00E00F14"/>
    <w:rsid w:val="00E06386"/>
    <w:rsid w:val="00E24EB4"/>
    <w:rsid w:val="00E320ED"/>
    <w:rsid w:val="00E33AFB"/>
    <w:rsid w:val="00E34218"/>
    <w:rsid w:val="00E46282"/>
    <w:rsid w:val="00E5216E"/>
    <w:rsid w:val="00E52D0F"/>
    <w:rsid w:val="00E82344"/>
    <w:rsid w:val="00E84C82"/>
    <w:rsid w:val="00E84D64"/>
    <w:rsid w:val="00E87408"/>
    <w:rsid w:val="00E914C4"/>
    <w:rsid w:val="00E934F5"/>
    <w:rsid w:val="00E96555"/>
    <w:rsid w:val="00E96961"/>
    <w:rsid w:val="00EA72EC"/>
    <w:rsid w:val="00EB11CB"/>
    <w:rsid w:val="00EB275A"/>
    <w:rsid w:val="00EB786A"/>
    <w:rsid w:val="00EC1578"/>
    <w:rsid w:val="00EC1C72"/>
    <w:rsid w:val="00EC3CC9"/>
    <w:rsid w:val="00EC680A"/>
    <w:rsid w:val="00EE2BED"/>
    <w:rsid w:val="00EE374B"/>
    <w:rsid w:val="00F0387B"/>
    <w:rsid w:val="00F11BB5"/>
    <w:rsid w:val="00F1417B"/>
    <w:rsid w:val="00F27DC7"/>
    <w:rsid w:val="00F34B99"/>
    <w:rsid w:val="00F52DAB"/>
    <w:rsid w:val="00F543F0"/>
    <w:rsid w:val="00F81D29"/>
    <w:rsid w:val="00F91C4D"/>
    <w:rsid w:val="00F92FD9"/>
    <w:rsid w:val="00F94A35"/>
    <w:rsid w:val="00FA6684"/>
    <w:rsid w:val="00FA731E"/>
    <w:rsid w:val="00FB19A3"/>
    <w:rsid w:val="00FB2B38"/>
    <w:rsid w:val="00FC6358"/>
    <w:rsid w:val="00FD320D"/>
    <w:rsid w:val="00FE23DE"/>
    <w:rsid w:val="00FE64BD"/>
    <w:rsid w:val="08F17FDE"/>
    <w:rsid w:val="25783B09"/>
    <w:rsid w:val="2AE439FA"/>
    <w:rsid w:val="3037476F"/>
    <w:rsid w:val="5CA0657B"/>
    <w:rsid w:val="687A05CB"/>
    <w:rsid w:val="7F511C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link w:val="42"/>
    <w:qFormat/>
    <w:uiPriority w:val="99"/>
    <w:pPr>
      <w:widowControl/>
      <w:spacing w:before="100" w:beforeAutospacing="1" w:after="100" w:afterAutospacing="1"/>
      <w:jc w:val="left"/>
      <w:outlineLvl w:val="2"/>
    </w:pPr>
    <w:rPr>
      <w:rFonts w:ascii="宋体" w:hAnsi="宋体"/>
      <w:b/>
      <w:bCs/>
      <w:color w:val="000066"/>
      <w:kern w:val="0"/>
      <w:sz w:val="27"/>
      <w:szCs w:val="27"/>
    </w:rPr>
  </w:style>
  <w:style w:type="character" w:default="1" w:styleId="35">
    <w:name w:val="Default Paragraph Font"/>
    <w:semiHidden/>
    <w:uiPriority w:val="0"/>
  </w:style>
  <w:style w:type="table" w:default="1" w:styleId="33">
    <w:name w:val="Normal Table"/>
    <w:semiHidden/>
    <w:uiPriority w:val="0"/>
    <w:tblPr>
      <w:tblStyle w:val="33"/>
      <w:tblCellMar>
        <w:top w:w="0" w:type="dxa"/>
        <w:left w:w="108" w:type="dxa"/>
        <w:bottom w:w="0" w:type="dxa"/>
        <w:right w:w="108" w:type="dxa"/>
      </w:tblCellMar>
    </w:tblPr>
  </w:style>
  <w:style w:type="paragraph" w:styleId="3">
    <w:name w:val="toc 7"/>
    <w:basedOn w:val="1"/>
    <w:next w:val="1"/>
    <w:semiHidden/>
    <w:uiPriority w:val="0"/>
    <w:pPr>
      <w:tabs>
        <w:tab w:val="right" w:leader="dot" w:pos="9241"/>
      </w:tabs>
      <w:ind w:firstLine="500" w:firstLineChars="500"/>
      <w:jc w:val="left"/>
    </w:pPr>
    <w:rPr>
      <w:rFonts w:ascii="宋体"/>
      <w:szCs w:val="21"/>
    </w:rPr>
  </w:style>
  <w:style w:type="paragraph" w:styleId="4">
    <w:name w:val="index 8"/>
    <w:basedOn w:val="1"/>
    <w:next w:val="1"/>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uiPriority w:val="0"/>
    <w:pPr>
      <w:ind w:left="1050" w:hanging="210"/>
      <w:jc w:val="left"/>
    </w:pPr>
    <w:rPr>
      <w:rFonts w:ascii="Calibri" w:hAnsi="Calibri"/>
      <w:sz w:val="20"/>
      <w:szCs w:val="20"/>
    </w:rPr>
  </w:style>
  <w:style w:type="paragraph" w:styleId="7">
    <w:name w:val="Document Map"/>
    <w:basedOn w:val="1"/>
    <w:semiHidden/>
    <w:uiPriority w:val="0"/>
    <w:pPr>
      <w:shd w:val="clear" w:color="auto" w:fill="000080"/>
    </w:pPr>
  </w:style>
  <w:style w:type="paragraph" w:styleId="8">
    <w:name w:val="annotation text"/>
    <w:basedOn w:val="1"/>
    <w:link w:val="43"/>
    <w:uiPriority w:val="0"/>
    <w:pPr>
      <w:jc w:val="left"/>
    </w:pPr>
  </w:style>
  <w:style w:type="paragraph" w:styleId="9">
    <w:name w:val="index 6"/>
    <w:basedOn w:val="1"/>
    <w:next w:val="1"/>
    <w:uiPriority w:val="0"/>
    <w:pPr>
      <w:ind w:left="1260" w:hanging="210"/>
      <w:jc w:val="left"/>
    </w:pPr>
    <w:rPr>
      <w:rFonts w:ascii="Calibri" w:hAnsi="Calibri"/>
      <w:sz w:val="20"/>
      <w:szCs w:val="20"/>
    </w:rPr>
  </w:style>
  <w:style w:type="paragraph" w:styleId="10">
    <w:name w:val="Body Text"/>
    <w:basedOn w:val="1"/>
    <w:link w:val="44"/>
    <w:qFormat/>
    <w:uiPriority w:val="1"/>
    <w:rPr>
      <w:rFonts w:ascii="宋体" w:hAnsi="宋体" w:cs="宋体"/>
      <w:szCs w:val="21"/>
      <w:lang w:val="ca-ES" w:eastAsia="ca-ES" w:bidi="ca-ES"/>
    </w:rPr>
  </w:style>
  <w:style w:type="paragraph" w:styleId="11">
    <w:name w:val="index 4"/>
    <w:basedOn w:val="1"/>
    <w:next w:val="1"/>
    <w:uiPriority w:val="0"/>
    <w:pPr>
      <w:ind w:left="840" w:hanging="210"/>
      <w:jc w:val="left"/>
    </w:pPr>
    <w:rPr>
      <w:rFonts w:ascii="Calibri" w:hAnsi="Calibri"/>
      <w:sz w:val="20"/>
      <w:szCs w:val="20"/>
    </w:rPr>
  </w:style>
  <w:style w:type="paragraph" w:styleId="12">
    <w:name w:val="toc 5"/>
    <w:basedOn w:val="1"/>
    <w:next w:val="1"/>
    <w:semiHidden/>
    <w:uiPriority w:val="0"/>
    <w:pPr>
      <w:tabs>
        <w:tab w:val="right" w:leader="dot" w:pos="9241"/>
      </w:tabs>
      <w:ind w:firstLine="300" w:firstLineChars="300"/>
      <w:jc w:val="left"/>
    </w:pPr>
    <w:rPr>
      <w:rFonts w:ascii="宋体"/>
      <w:szCs w:val="21"/>
    </w:rPr>
  </w:style>
  <w:style w:type="paragraph" w:styleId="13">
    <w:name w:val="toc 3"/>
    <w:basedOn w:val="1"/>
    <w:next w:val="1"/>
    <w:semiHidden/>
    <w:uiPriority w:val="0"/>
    <w:pPr>
      <w:tabs>
        <w:tab w:val="right" w:leader="dot" w:pos="9241"/>
      </w:tabs>
      <w:ind w:firstLine="100" w:firstLineChars="100"/>
      <w:jc w:val="left"/>
    </w:pPr>
    <w:rPr>
      <w:rFonts w:ascii="宋体"/>
      <w:szCs w:val="21"/>
    </w:rPr>
  </w:style>
  <w:style w:type="paragraph" w:styleId="14">
    <w:name w:val="toc 8"/>
    <w:basedOn w:val="1"/>
    <w:next w:val="1"/>
    <w:semiHidden/>
    <w:uiPriority w:val="0"/>
    <w:pPr>
      <w:tabs>
        <w:tab w:val="right" w:leader="dot" w:pos="9241"/>
      </w:tabs>
      <w:ind w:firstLine="607" w:firstLineChars="600"/>
      <w:jc w:val="left"/>
    </w:pPr>
    <w:rPr>
      <w:rFonts w:ascii="宋体"/>
      <w:szCs w:val="21"/>
    </w:rPr>
  </w:style>
  <w:style w:type="paragraph" w:styleId="15">
    <w:name w:val="index 3"/>
    <w:basedOn w:val="1"/>
    <w:next w:val="1"/>
    <w:uiPriority w:val="0"/>
    <w:pPr>
      <w:ind w:left="630" w:hanging="210"/>
      <w:jc w:val="left"/>
    </w:pPr>
    <w:rPr>
      <w:rFonts w:ascii="Calibri" w:hAnsi="Calibri"/>
      <w:sz w:val="20"/>
      <w:szCs w:val="20"/>
    </w:rPr>
  </w:style>
  <w:style w:type="paragraph" w:styleId="16">
    <w:name w:val="endnote text"/>
    <w:basedOn w:val="1"/>
    <w:semiHidden/>
    <w:uiPriority w:val="0"/>
    <w:pPr>
      <w:snapToGrid w:val="0"/>
      <w:jc w:val="left"/>
    </w:pPr>
  </w:style>
  <w:style w:type="paragraph" w:styleId="17">
    <w:name w:val="Balloon Text"/>
    <w:basedOn w:val="1"/>
    <w:link w:val="45"/>
    <w:uiPriority w:val="0"/>
    <w:rPr>
      <w:sz w:val="18"/>
      <w:szCs w:val="18"/>
    </w:rPr>
  </w:style>
  <w:style w:type="paragraph" w:styleId="18">
    <w:name w:val="footer"/>
    <w:basedOn w:val="1"/>
    <w:uiPriority w:val="0"/>
    <w:pPr>
      <w:snapToGrid w:val="0"/>
      <w:ind w:right="210" w:rightChars="100"/>
      <w:jc w:val="right"/>
    </w:pPr>
    <w:rPr>
      <w:sz w:val="18"/>
      <w:szCs w:val="18"/>
    </w:rPr>
  </w:style>
  <w:style w:type="paragraph" w:styleId="19">
    <w:name w:val="header"/>
    <w:basedOn w:val="1"/>
    <w:uiPriority w:val="0"/>
    <w:pPr>
      <w:snapToGrid w:val="0"/>
      <w:jc w:val="left"/>
    </w:pPr>
    <w:rPr>
      <w:sz w:val="18"/>
      <w:szCs w:val="18"/>
    </w:rPr>
  </w:style>
  <w:style w:type="paragraph" w:styleId="20">
    <w:name w:val="toc 1"/>
    <w:basedOn w:val="1"/>
    <w:next w:val="1"/>
    <w:semiHidden/>
    <w:uiPriority w:val="0"/>
    <w:pPr>
      <w:tabs>
        <w:tab w:val="right" w:leader="dot" w:pos="9242"/>
      </w:tabs>
      <w:spacing w:before="25" w:beforeLines="25" w:after="25" w:afterLines="25"/>
      <w:jc w:val="left"/>
    </w:pPr>
    <w:rPr>
      <w:rFonts w:ascii="宋体"/>
      <w:szCs w:val="21"/>
    </w:rPr>
  </w:style>
  <w:style w:type="paragraph" w:styleId="21">
    <w:name w:val="toc 4"/>
    <w:basedOn w:val="1"/>
    <w:next w:val="1"/>
    <w:semiHidden/>
    <w:uiPriority w:val="0"/>
    <w:pPr>
      <w:tabs>
        <w:tab w:val="right" w:leader="dot" w:pos="9241"/>
      </w:tabs>
      <w:ind w:firstLine="200" w:firstLineChars="200"/>
      <w:jc w:val="left"/>
    </w:pPr>
    <w:rPr>
      <w:rFonts w:ascii="宋体"/>
      <w:szCs w:val="21"/>
    </w:rPr>
  </w:style>
  <w:style w:type="paragraph" w:styleId="22">
    <w:name w:val="index heading"/>
    <w:basedOn w:val="1"/>
    <w:next w:val="23"/>
    <w:uiPriority w:val="0"/>
    <w:pPr>
      <w:spacing w:before="120" w:after="120"/>
      <w:jc w:val="center"/>
    </w:pPr>
    <w:rPr>
      <w:rFonts w:ascii="Calibri" w:hAnsi="Calibri"/>
      <w:b/>
      <w:bCs/>
      <w:iCs/>
      <w:szCs w:val="20"/>
    </w:rPr>
  </w:style>
  <w:style w:type="paragraph" w:styleId="23">
    <w:name w:val="index 1"/>
    <w:basedOn w:val="1"/>
    <w:next w:val="24"/>
    <w:uiPriority w:val="0"/>
    <w:pPr>
      <w:tabs>
        <w:tab w:val="right" w:leader="dot" w:pos="9299"/>
      </w:tabs>
      <w:jc w:val="left"/>
    </w:pPr>
    <w:rPr>
      <w:rFonts w:ascii="宋体"/>
      <w:szCs w:val="21"/>
    </w:rPr>
  </w:style>
  <w:style w:type="paragraph" w:customStyle="1" w:styleId="24">
    <w:name w:val="段"/>
    <w:link w:val="46"/>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25">
    <w:name w:val="footnote text"/>
    <w:basedOn w:val="1"/>
    <w:uiPriority w:val="0"/>
    <w:pPr>
      <w:numPr>
        <w:ilvl w:val="0"/>
        <w:numId w:val="1"/>
      </w:numPr>
      <w:snapToGrid w:val="0"/>
      <w:jc w:val="left"/>
    </w:pPr>
    <w:rPr>
      <w:rFonts w:ascii="宋体"/>
      <w:sz w:val="18"/>
      <w:szCs w:val="18"/>
    </w:rPr>
  </w:style>
  <w:style w:type="paragraph" w:styleId="26">
    <w:name w:val="toc 6"/>
    <w:basedOn w:val="1"/>
    <w:next w:val="1"/>
    <w:semiHidden/>
    <w:uiPriority w:val="0"/>
    <w:pPr>
      <w:tabs>
        <w:tab w:val="right" w:leader="dot" w:pos="9241"/>
      </w:tabs>
      <w:ind w:firstLine="400" w:firstLineChars="400"/>
      <w:jc w:val="left"/>
    </w:pPr>
    <w:rPr>
      <w:rFonts w:ascii="宋体"/>
      <w:szCs w:val="21"/>
    </w:rPr>
  </w:style>
  <w:style w:type="paragraph" w:styleId="27">
    <w:name w:val="index 7"/>
    <w:basedOn w:val="1"/>
    <w:next w:val="1"/>
    <w:uiPriority w:val="0"/>
    <w:pPr>
      <w:ind w:left="1470" w:hanging="210"/>
      <w:jc w:val="left"/>
    </w:pPr>
    <w:rPr>
      <w:rFonts w:ascii="Calibri" w:hAnsi="Calibri"/>
      <w:sz w:val="20"/>
      <w:szCs w:val="20"/>
    </w:rPr>
  </w:style>
  <w:style w:type="paragraph" w:styleId="28">
    <w:name w:val="index 9"/>
    <w:basedOn w:val="1"/>
    <w:next w:val="1"/>
    <w:uiPriority w:val="0"/>
    <w:pPr>
      <w:ind w:left="1890" w:hanging="210"/>
      <w:jc w:val="left"/>
    </w:pPr>
    <w:rPr>
      <w:rFonts w:ascii="Calibri" w:hAnsi="Calibri"/>
      <w:sz w:val="20"/>
      <w:szCs w:val="20"/>
    </w:rPr>
  </w:style>
  <w:style w:type="paragraph" w:styleId="29">
    <w:name w:val="toc 2"/>
    <w:basedOn w:val="1"/>
    <w:next w:val="1"/>
    <w:semiHidden/>
    <w:uiPriority w:val="0"/>
    <w:pPr>
      <w:tabs>
        <w:tab w:val="right" w:leader="dot" w:pos="9242"/>
      </w:tabs>
    </w:pPr>
    <w:rPr>
      <w:rFonts w:ascii="宋体"/>
      <w:szCs w:val="21"/>
    </w:rPr>
  </w:style>
  <w:style w:type="paragraph" w:styleId="30">
    <w:name w:val="toc 9"/>
    <w:basedOn w:val="1"/>
    <w:next w:val="1"/>
    <w:semiHidden/>
    <w:uiPriority w:val="0"/>
    <w:pPr>
      <w:ind w:left="1470"/>
      <w:jc w:val="left"/>
    </w:pPr>
    <w:rPr>
      <w:sz w:val="20"/>
      <w:szCs w:val="20"/>
    </w:rPr>
  </w:style>
  <w:style w:type="paragraph" w:styleId="31">
    <w:name w:val="index 2"/>
    <w:basedOn w:val="1"/>
    <w:next w:val="1"/>
    <w:uiPriority w:val="0"/>
    <w:pPr>
      <w:ind w:left="420" w:hanging="210"/>
      <w:jc w:val="left"/>
    </w:pPr>
    <w:rPr>
      <w:rFonts w:ascii="Calibri" w:hAnsi="Calibri"/>
      <w:sz w:val="20"/>
      <w:szCs w:val="20"/>
    </w:rPr>
  </w:style>
  <w:style w:type="paragraph" w:styleId="32">
    <w:name w:val="annotation subject"/>
    <w:basedOn w:val="8"/>
    <w:next w:val="8"/>
    <w:link w:val="47"/>
    <w:uiPriority w:val="0"/>
    <w:rPr>
      <w:b/>
      <w:bCs/>
    </w:rPr>
  </w:style>
  <w:style w:type="table" w:styleId="34">
    <w:name w:val="Table Grid"/>
    <w:basedOn w:val="33"/>
    <w:uiPriority w:val="0"/>
    <w:rPr>
      <w:rFonts w:ascii="宋体"/>
      <w:sz w:val="18"/>
      <w:szCs w:val="18"/>
    </w:rPr>
    <w:tblPr>
      <w:tblStyle w:val="3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uiPriority w:val="0"/>
    <w:rPr>
      <w:vertAlign w:val="superscript"/>
    </w:rPr>
  </w:style>
  <w:style w:type="character" w:styleId="37">
    <w:name w:val="page number"/>
    <w:uiPriority w:val="0"/>
    <w:rPr>
      <w:rFonts w:ascii="Times New Roman" w:hAnsi="Times New Roman" w:eastAsia="宋体"/>
      <w:sz w:val="18"/>
    </w:rPr>
  </w:style>
  <w:style w:type="character" w:styleId="38">
    <w:name w:val="FollowedHyperlink"/>
    <w:uiPriority w:val="0"/>
    <w:rPr>
      <w:color w:val="800080"/>
      <w:u w:val="single"/>
    </w:rPr>
  </w:style>
  <w:style w:type="character" w:styleId="39">
    <w:name w:val="Hyperlink"/>
    <w:uiPriority w:val="0"/>
    <w:rPr>
      <w:color w:val="0000FF"/>
      <w:spacing w:val="0"/>
      <w:w w:val="100"/>
      <w:szCs w:val="21"/>
      <w:u w:val="single"/>
      <w:lang/>
    </w:rPr>
  </w:style>
  <w:style w:type="character" w:styleId="40">
    <w:name w:val="annotation reference"/>
    <w:uiPriority w:val="0"/>
    <w:rPr>
      <w:sz w:val="21"/>
      <w:szCs w:val="21"/>
    </w:rPr>
  </w:style>
  <w:style w:type="character" w:styleId="41">
    <w:name w:val="footnote reference"/>
    <w:semiHidden/>
    <w:uiPriority w:val="0"/>
    <w:rPr>
      <w:vertAlign w:val="superscript"/>
    </w:rPr>
  </w:style>
  <w:style w:type="character" w:customStyle="1" w:styleId="42">
    <w:name w:val="标题 3 Char"/>
    <w:link w:val="2"/>
    <w:uiPriority w:val="99"/>
    <w:rPr>
      <w:rFonts w:ascii="宋体" w:hAnsi="宋体"/>
      <w:b/>
      <w:bCs/>
      <w:color w:val="000066"/>
      <w:sz w:val="27"/>
      <w:szCs w:val="27"/>
    </w:rPr>
  </w:style>
  <w:style w:type="character" w:customStyle="1" w:styleId="43">
    <w:name w:val="批注文字 字符"/>
    <w:link w:val="8"/>
    <w:uiPriority w:val="0"/>
    <w:rPr>
      <w:kern w:val="2"/>
      <w:sz w:val="21"/>
      <w:szCs w:val="24"/>
    </w:rPr>
  </w:style>
  <w:style w:type="character" w:customStyle="1" w:styleId="44">
    <w:name w:val="正文文本 Char"/>
    <w:link w:val="10"/>
    <w:uiPriority w:val="1"/>
    <w:rPr>
      <w:rFonts w:ascii="宋体" w:hAnsi="宋体" w:cs="宋体"/>
      <w:kern w:val="2"/>
      <w:sz w:val="21"/>
      <w:szCs w:val="21"/>
      <w:lang w:val="ca-ES" w:eastAsia="ca-ES" w:bidi="ca-ES"/>
    </w:rPr>
  </w:style>
  <w:style w:type="character" w:customStyle="1" w:styleId="45">
    <w:name w:val="批注框文本 字符"/>
    <w:link w:val="17"/>
    <w:uiPriority w:val="0"/>
    <w:rPr>
      <w:kern w:val="2"/>
      <w:sz w:val="18"/>
      <w:szCs w:val="18"/>
    </w:rPr>
  </w:style>
  <w:style w:type="character" w:customStyle="1" w:styleId="46">
    <w:name w:val="段 Char"/>
    <w:link w:val="24"/>
    <w:uiPriority w:val="0"/>
    <w:rPr>
      <w:rFonts w:ascii="宋体"/>
      <w:sz w:val="21"/>
      <w:lang w:val="en-US" w:eastAsia="zh-CN" w:bidi="ar-SA"/>
    </w:rPr>
  </w:style>
  <w:style w:type="character" w:customStyle="1" w:styleId="47">
    <w:name w:val="批注主题 字符"/>
    <w:link w:val="32"/>
    <w:uiPriority w:val="0"/>
    <w:rPr>
      <w:b/>
      <w:bCs/>
      <w:kern w:val="2"/>
      <w:sz w:val="21"/>
      <w:szCs w:val="24"/>
    </w:rPr>
  </w:style>
  <w:style w:type="paragraph" w:customStyle="1" w:styleId="48">
    <w:name w:val="一级条标题"/>
    <w:next w:val="24"/>
    <w:uiPriority w:val="0"/>
    <w:pPr>
      <w:numPr>
        <w:ilvl w:val="1"/>
        <w:numId w:val="2"/>
      </w:numPr>
      <w:spacing w:before="156" w:beforeLines="50" w:after="156" w:afterLines="50"/>
      <w:outlineLvl w:val="2"/>
    </w:pPr>
    <w:rPr>
      <w:rFonts w:ascii="黑体" w:eastAsia="黑体"/>
      <w:sz w:val="21"/>
      <w:szCs w:val="21"/>
      <w:lang w:val="en-US" w:eastAsia="zh-CN" w:bidi="ar-SA"/>
    </w:rPr>
  </w:style>
  <w:style w:type="paragraph" w:customStyle="1" w:styleId="49">
    <w:name w:val="标准书脚_奇数页"/>
    <w:uiPriority w:val="0"/>
    <w:pPr>
      <w:spacing w:before="120"/>
      <w:ind w:right="198"/>
      <w:jc w:val="right"/>
    </w:pPr>
    <w:rPr>
      <w:rFonts w:ascii="宋体"/>
      <w:sz w:val="18"/>
      <w:szCs w:val="18"/>
      <w:lang w:val="en-US" w:eastAsia="zh-CN" w:bidi="ar-SA"/>
    </w:rPr>
  </w:style>
  <w:style w:type="paragraph" w:customStyle="1" w:styleId="50">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51">
    <w:name w:val="章标题"/>
    <w:next w:val="24"/>
    <w:uiPriority w:val="0"/>
    <w:pPr>
      <w:numPr>
        <w:ilvl w:val="0"/>
        <w:numId w:val="2"/>
      </w:numPr>
      <w:spacing w:before="312" w:beforeLines="100" w:after="312" w:afterLines="100"/>
      <w:jc w:val="both"/>
      <w:outlineLvl w:val="1"/>
    </w:pPr>
    <w:rPr>
      <w:rFonts w:ascii="黑体" w:eastAsia="黑体"/>
      <w:sz w:val="21"/>
      <w:lang w:val="en-US" w:eastAsia="zh-CN" w:bidi="ar-SA"/>
    </w:rPr>
  </w:style>
  <w:style w:type="paragraph" w:customStyle="1" w:styleId="52">
    <w:name w:val="二级条标题"/>
    <w:basedOn w:val="48"/>
    <w:next w:val="24"/>
    <w:uiPriority w:val="0"/>
    <w:pPr>
      <w:numPr>
        <w:ilvl w:val="2"/>
        <w:numId w:val="2"/>
      </w:numPr>
      <w:spacing w:before="50" w:after="50"/>
      <w:outlineLvl w:val="3"/>
    </w:pPr>
  </w:style>
  <w:style w:type="paragraph" w:customStyle="1" w:styleId="53">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54">
    <w:name w:val="列项——（一级）"/>
    <w:uiPriority w:val="0"/>
    <w:pPr>
      <w:widowControl w:val="0"/>
      <w:numPr>
        <w:ilvl w:val="0"/>
        <w:numId w:val="3"/>
      </w:numPr>
      <w:jc w:val="both"/>
    </w:pPr>
    <w:rPr>
      <w:rFonts w:ascii="宋体"/>
      <w:sz w:val="21"/>
      <w:lang w:val="en-US" w:eastAsia="zh-CN" w:bidi="ar-SA"/>
    </w:rPr>
  </w:style>
  <w:style w:type="paragraph" w:customStyle="1" w:styleId="55">
    <w:name w:val="列项●（二级）"/>
    <w:uiPriority w:val="0"/>
    <w:pPr>
      <w:numPr>
        <w:ilvl w:val="1"/>
        <w:numId w:val="3"/>
      </w:numPr>
      <w:tabs>
        <w:tab w:val="left" w:pos="840"/>
      </w:tabs>
      <w:jc w:val="both"/>
    </w:pPr>
    <w:rPr>
      <w:rFonts w:ascii="宋体"/>
      <w:sz w:val="21"/>
      <w:lang w:val="en-US" w:eastAsia="zh-CN" w:bidi="ar-SA"/>
    </w:rPr>
  </w:style>
  <w:style w:type="paragraph" w:customStyle="1" w:styleId="56">
    <w:name w:val="目次、标准名称标题"/>
    <w:basedOn w:val="1"/>
    <w:next w:val="24"/>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7">
    <w:name w:val="三级条标题"/>
    <w:basedOn w:val="52"/>
    <w:next w:val="24"/>
    <w:uiPriority w:val="0"/>
    <w:pPr>
      <w:numPr>
        <w:ilvl w:val="3"/>
        <w:numId w:val="2"/>
      </w:numPr>
      <w:outlineLvl w:val="4"/>
    </w:pPr>
  </w:style>
  <w:style w:type="paragraph" w:customStyle="1" w:styleId="58">
    <w:name w:val="示例"/>
    <w:next w:val="59"/>
    <w:uiPriority w:val="0"/>
    <w:pPr>
      <w:widowControl w:val="0"/>
      <w:numPr>
        <w:ilvl w:val="0"/>
        <w:numId w:val="4"/>
      </w:numPr>
      <w:jc w:val="both"/>
    </w:pPr>
    <w:rPr>
      <w:rFonts w:ascii="宋体"/>
      <w:sz w:val="18"/>
      <w:szCs w:val="18"/>
      <w:lang w:val="en-US" w:eastAsia="zh-CN" w:bidi="ar-SA"/>
    </w:rPr>
  </w:style>
  <w:style w:type="paragraph" w:customStyle="1" w:styleId="59">
    <w:name w:val="示例内容"/>
    <w:uiPriority w:val="0"/>
    <w:pPr>
      <w:ind w:firstLine="200" w:firstLineChars="200"/>
    </w:pPr>
    <w:rPr>
      <w:rFonts w:ascii="宋体"/>
      <w:sz w:val="18"/>
      <w:szCs w:val="18"/>
      <w:lang w:val="en-US" w:eastAsia="zh-CN" w:bidi="ar-SA"/>
    </w:rPr>
  </w:style>
  <w:style w:type="paragraph" w:customStyle="1" w:styleId="60">
    <w:name w:val="数字编号列项（二级）"/>
    <w:uiPriority w:val="0"/>
    <w:pPr>
      <w:numPr>
        <w:ilvl w:val="1"/>
        <w:numId w:val="5"/>
      </w:numPr>
      <w:jc w:val="both"/>
    </w:pPr>
    <w:rPr>
      <w:rFonts w:ascii="宋体"/>
      <w:sz w:val="21"/>
      <w:lang w:val="en-US" w:eastAsia="zh-CN" w:bidi="ar-SA"/>
    </w:rPr>
  </w:style>
  <w:style w:type="paragraph" w:customStyle="1" w:styleId="61">
    <w:name w:val="四级条标题"/>
    <w:basedOn w:val="57"/>
    <w:next w:val="24"/>
    <w:uiPriority w:val="0"/>
    <w:pPr>
      <w:numPr>
        <w:ilvl w:val="4"/>
        <w:numId w:val="2"/>
      </w:numPr>
      <w:outlineLvl w:val="5"/>
    </w:pPr>
  </w:style>
  <w:style w:type="paragraph" w:customStyle="1" w:styleId="62">
    <w:name w:val="五级条标题"/>
    <w:basedOn w:val="61"/>
    <w:next w:val="24"/>
    <w:uiPriority w:val="0"/>
    <w:pPr>
      <w:numPr>
        <w:ilvl w:val="5"/>
        <w:numId w:val="2"/>
      </w:numPr>
      <w:outlineLvl w:val="6"/>
    </w:pPr>
  </w:style>
  <w:style w:type="paragraph" w:customStyle="1" w:styleId="63">
    <w:name w:val="注："/>
    <w:next w:val="24"/>
    <w:uiPriority w:val="0"/>
    <w:pPr>
      <w:widowControl w:val="0"/>
      <w:numPr>
        <w:ilvl w:val="0"/>
        <w:numId w:val="6"/>
      </w:numPr>
      <w:autoSpaceDE w:val="0"/>
      <w:autoSpaceDN w:val="0"/>
      <w:jc w:val="both"/>
    </w:pPr>
    <w:rPr>
      <w:rFonts w:ascii="宋体"/>
      <w:sz w:val="18"/>
      <w:szCs w:val="18"/>
      <w:lang w:val="en-US" w:eastAsia="zh-CN" w:bidi="ar-SA"/>
    </w:rPr>
  </w:style>
  <w:style w:type="paragraph" w:customStyle="1" w:styleId="64">
    <w:name w:val="注×："/>
    <w:uiPriority w:val="0"/>
    <w:pPr>
      <w:widowControl w:val="0"/>
      <w:numPr>
        <w:ilvl w:val="0"/>
        <w:numId w:val="7"/>
      </w:numPr>
      <w:autoSpaceDE w:val="0"/>
      <w:autoSpaceDN w:val="0"/>
      <w:jc w:val="both"/>
    </w:pPr>
    <w:rPr>
      <w:rFonts w:ascii="宋体"/>
      <w:sz w:val="18"/>
      <w:szCs w:val="18"/>
      <w:lang w:val="en-US" w:eastAsia="zh-CN" w:bidi="ar-SA"/>
    </w:rPr>
  </w:style>
  <w:style w:type="paragraph" w:customStyle="1" w:styleId="65">
    <w:name w:val="字母编号列项（一级）"/>
    <w:uiPriority w:val="0"/>
    <w:pPr>
      <w:numPr>
        <w:ilvl w:val="0"/>
        <w:numId w:val="5"/>
      </w:numPr>
      <w:jc w:val="both"/>
    </w:pPr>
    <w:rPr>
      <w:rFonts w:ascii="宋体"/>
      <w:sz w:val="21"/>
      <w:lang w:val="en-US" w:eastAsia="zh-CN" w:bidi="ar-SA"/>
    </w:rPr>
  </w:style>
  <w:style w:type="paragraph" w:customStyle="1" w:styleId="66">
    <w:name w:val="列项◆（三级）"/>
    <w:basedOn w:val="1"/>
    <w:uiPriority w:val="0"/>
    <w:pPr>
      <w:numPr>
        <w:ilvl w:val="2"/>
        <w:numId w:val="3"/>
      </w:numPr>
    </w:pPr>
    <w:rPr>
      <w:rFonts w:ascii="宋体"/>
      <w:szCs w:val="21"/>
    </w:rPr>
  </w:style>
  <w:style w:type="paragraph" w:customStyle="1" w:styleId="67">
    <w:name w:val="编号列项（三级）"/>
    <w:uiPriority w:val="0"/>
    <w:pPr>
      <w:numPr>
        <w:ilvl w:val="2"/>
        <w:numId w:val="5"/>
      </w:numPr>
    </w:pPr>
    <w:rPr>
      <w:rFonts w:ascii="宋体"/>
      <w:sz w:val="21"/>
      <w:lang w:val="en-US" w:eastAsia="zh-CN" w:bidi="ar-SA"/>
    </w:rPr>
  </w:style>
  <w:style w:type="paragraph" w:customStyle="1" w:styleId="68">
    <w:name w:val="示例×："/>
    <w:basedOn w:val="51"/>
    <w:qFormat/>
    <w:uiPriority w:val="0"/>
    <w:pPr>
      <w:numPr>
        <w:ilvl w:val="0"/>
        <w:numId w:val="8"/>
      </w:numPr>
      <w:spacing w:before="0" w:beforeLines="0" w:after="0" w:afterLines="0"/>
      <w:outlineLvl w:val="9"/>
    </w:pPr>
    <w:rPr>
      <w:rFonts w:ascii="宋体" w:eastAsia="宋体"/>
      <w:sz w:val="18"/>
      <w:szCs w:val="18"/>
    </w:rPr>
  </w:style>
  <w:style w:type="paragraph" w:customStyle="1" w:styleId="69">
    <w:name w:val="二级无"/>
    <w:basedOn w:val="52"/>
    <w:uiPriority w:val="0"/>
    <w:pPr>
      <w:spacing w:before="0" w:beforeLines="0" w:after="0" w:afterLines="0"/>
      <w:ind w:left="0" w:firstLine="0"/>
    </w:pPr>
    <w:rPr>
      <w:rFonts w:ascii="宋体" w:eastAsia="宋体"/>
    </w:rPr>
  </w:style>
  <w:style w:type="paragraph" w:customStyle="1" w:styleId="70">
    <w:name w:val="注：（正文）"/>
    <w:basedOn w:val="63"/>
    <w:next w:val="24"/>
    <w:uiPriority w:val="0"/>
  </w:style>
  <w:style w:type="paragraph" w:customStyle="1" w:styleId="71">
    <w:name w:val="注×：（正文）"/>
    <w:uiPriority w:val="0"/>
    <w:pPr>
      <w:numPr>
        <w:ilvl w:val="0"/>
        <w:numId w:val="9"/>
      </w:numPr>
      <w:jc w:val="both"/>
    </w:pPr>
    <w:rPr>
      <w:rFonts w:ascii="宋体"/>
      <w:sz w:val="18"/>
      <w:szCs w:val="18"/>
      <w:lang w:val="en-US" w:eastAsia="zh-CN" w:bidi="ar-SA"/>
    </w:rPr>
  </w:style>
  <w:style w:type="paragraph" w:customStyle="1" w:styleId="72">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73">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74">
    <w:name w:val="标准书脚_偶数页"/>
    <w:uiPriority w:val="0"/>
    <w:pPr>
      <w:spacing w:before="120"/>
      <w:ind w:left="221"/>
    </w:pPr>
    <w:rPr>
      <w:rFonts w:ascii="宋体"/>
      <w:sz w:val="18"/>
      <w:szCs w:val="18"/>
      <w:lang w:val="en-US" w:eastAsia="zh-CN" w:bidi="ar-SA"/>
    </w:rPr>
  </w:style>
  <w:style w:type="paragraph" w:customStyle="1" w:styleId="75">
    <w:name w:val="标准书眉_偶数页"/>
    <w:basedOn w:val="50"/>
    <w:next w:val="1"/>
    <w:uiPriority w:val="0"/>
    <w:pPr>
      <w:jc w:val="left"/>
    </w:pPr>
    <w:rPr>
      <w:rFonts w:ascii="黑体" w:eastAsia="黑体"/>
    </w:rPr>
  </w:style>
  <w:style w:type="paragraph" w:customStyle="1" w:styleId="76">
    <w:name w:val="标准书眉一"/>
    <w:uiPriority w:val="0"/>
    <w:pPr>
      <w:jc w:val="both"/>
    </w:pPr>
    <w:rPr>
      <w:lang w:val="en-US" w:eastAsia="zh-CN" w:bidi="ar-SA"/>
    </w:rPr>
  </w:style>
  <w:style w:type="paragraph" w:customStyle="1" w:styleId="77">
    <w:name w:val="参考文献"/>
    <w:basedOn w:val="1"/>
    <w:next w:val="24"/>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8">
    <w:name w:val="参考文献、索引标题"/>
    <w:basedOn w:val="1"/>
    <w:next w:val="24"/>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9">
    <w:name w:val="发布"/>
    <w:uiPriority w:val="0"/>
    <w:rPr>
      <w:rFonts w:ascii="黑体" w:eastAsia="黑体"/>
      <w:spacing w:val="85"/>
      <w:w w:val="100"/>
      <w:position w:val="3"/>
      <w:sz w:val="28"/>
      <w:szCs w:val="28"/>
    </w:rPr>
  </w:style>
  <w:style w:type="paragraph" w:customStyle="1" w:styleId="80">
    <w:name w:val="发布部门"/>
    <w:next w:val="24"/>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81">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82">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83">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84">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85">
    <w:name w:val="封面标准英文名称"/>
    <w:basedOn w:val="84"/>
    <w:uiPriority w:val="0"/>
    <w:pPr>
      <w:spacing w:before="370" w:line="400" w:lineRule="exact"/>
    </w:pPr>
    <w:rPr>
      <w:rFonts w:ascii="Times New Roman"/>
      <w:sz w:val="28"/>
      <w:szCs w:val="28"/>
    </w:rPr>
  </w:style>
  <w:style w:type="paragraph" w:customStyle="1" w:styleId="86">
    <w:name w:val="封面一致性程度标识"/>
    <w:basedOn w:val="85"/>
    <w:uiPriority w:val="0"/>
    <w:pPr>
      <w:spacing w:before="440"/>
    </w:pPr>
    <w:rPr>
      <w:rFonts w:ascii="宋体" w:eastAsia="宋体"/>
    </w:rPr>
  </w:style>
  <w:style w:type="paragraph" w:customStyle="1" w:styleId="87">
    <w:name w:val="封面标准文稿类别"/>
    <w:basedOn w:val="86"/>
    <w:uiPriority w:val="0"/>
    <w:pPr>
      <w:spacing w:after="160" w:line="240" w:lineRule="auto"/>
    </w:pPr>
    <w:rPr>
      <w:sz w:val="24"/>
    </w:rPr>
  </w:style>
  <w:style w:type="paragraph" w:customStyle="1" w:styleId="88">
    <w:name w:val="封面标准文稿编辑信息"/>
    <w:basedOn w:val="87"/>
    <w:uiPriority w:val="0"/>
    <w:pPr>
      <w:spacing w:before="180" w:line="180" w:lineRule="exact"/>
    </w:pPr>
    <w:rPr>
      <w:sz w:val="21"/>
    </w:rPr>
  </w:style>
  <w:style w:type="paragraph" w:customStyle="1" w:styleId="89">
    <w:name w:val="封面正文"/>
    <w:uiPriority w:val="0"/>
    <w:pPr>
      <w:jc w:val="both"/>
    </w:pPr>
    <w:rPr>
      <w:lang w:val="en-US" w:eastAsia="zh-CN" w:bidi="ar-SA"/>
    </w:rPr>
  </w:style>
  <w:style w:type="paragraph" w:customStyle="1" w:styleId="90">
    <w:name w:val="附录标识"/>
    <w:basedOn w:val="1"/>
    <w:next w:val="24"/>
    <w:uiPriority w:val="99"/>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1">
    <w:name w:val="附录标题"/>
    <w:basedOn w:val="24"/>
    <w:next w:val="24"/>
    <w:uiPriority w:val="0"/>
    <w:pPr>
      <w:ind w:firstLine="0" w:firstLineChars="0"/>
      <w:jc w:val="center"/>
    </w:pPr>
    <w:rPr>
      <w:rFonts w:ascii="黑体" w:eastAsia="黑体"/>
    </w:rPr>
  </w:style>
  <w:style w:type="paragraph" w:customStyle="1" w:styleId="92">
    <w:name w:val="附录表标号"/>
    <w:basedOn w:val="1"/>
    <w:next w:val="24"/>
    <w:uiPriority w:val="0"/>
    <w:pPr>
      <w:numPr>
        <w:ilvl w:val="0"/>
        <w:numId w:val="11"/>
      </w:numPr>
      <w:tabs>
        <w:tab w:val="clear" w:pos="0"/>
      </w:tabs>
      <w:spacing w:line="14" w:lineRule="exact"/>
      <w:ind w:left="811" w:hanging="448"/>
      <w:jc w:val="center"/>
      <w:outlineLvl w:val="0"/>
    </w:pPr>
    <w:rPr>
      <w:color w:val="FFFFFF"/>
    </w:rPr>
  </w:style>
  <w:style w:type="paragraph" w:customStyle="1" w:styleId="93">
    <w:name w:val="附录表标题"/>
    <w:basedOn w:val="1"/>
    <w:next w:val="24"/>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94">
    <w:name w:val="附录二级条标题"/>
    <w:basedOn w:val="1"/>
    <w:next w:val="24"/>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5">
    <w:name w:val="附录二级无"/>
    <w:basedOn w:val="94"/>
    <w:uiPriority w:val="0"/>
    <w:pPr>
      <w:tabs>
        <w:tab w:val="clear" w:pos="360"/>
      </w:tabs>
      <w:spacing w:before="0" w:beforeLines="0" w:after="0" w:afterLines="0"/>
    </w:pPr>
    <w:rPr>
      <w:rFonts w:ascii="宋体" w:eastAsia="宋体"/>
      <w:szCs w:val="21"/>
    </w:rPr>
  </w:style>
  <w:style w:type="paragraph" w:customStyle="1" w:styleId="96">
    <w:name w:val="附录公式"/>
    <w:basedOn w:val="24"/>
    <w:next w:val="24"/>
    <w:link w:val="97"/>
    <w:qFormat/>
    <w:uiPriority w:val="0"/>
  </w:style>
  <w:style w:type="character" w:customStyle="1" w:styleId="97">
    <w:name w:val="附录公式 Char"/>
    <w:basedOn w:val="46"/>
    <w:link w:val="96"/>
    <w:uiPriority w:val="0"/>
  </w:style>
  <w:style w:type="paragraph" w:customStyle="1" w:styleId="98">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lang/>
    </w:rPr>
  </w:style>
  <w:style w:type="paragraph" w:customStyle="1" w:styleId="99">
    <w:name w:val="附录三级条标题"/>
    <w:basedOn w:val="94"/>
    <w:next w:val="24"/>
    <w:uiPriority w:val="0"/>
    <w:pPr>
      <w:numPr>
        <w:ilvl w:val="4"/>
        <w:numId w:val="10"/>
      </w:numPr>
      <w:outlineLvl w:val="4"/>
    </w:pPr>
  </w:style>
  <w:style w:type="paragraph" w:customStyle="1" w:styleId="100">
    <w:name w:val="附录三级无"/>
    <w:basedOn w:val="99"/>
    <w:uiPriority w:val="0"/>
    <w:pPr>
      <w:tabs>
        <w:tab w:val="clear" w:pos="360"/>
      </w:tabs>
      <w:spacing w:before="0" w:beforeLines="0" w:after="0" w:afterLines="0"/>
    </w:pPr>
    <w:rPr>
      <w:rFonts w:ascii="宋体" w:eastAsia="宋体"/>
      <w:szCs w:val="21"/>
    </w:rPr>
  </w:style>
  <w:style w:type="paragraph" w:customStyle="1" w:styleId="101">
    <w:name w:val="附录数字编号列项（二级）"/>
    <w:qFormat/>
    <w:uiPriority w:val="0"/>
    <w:pPr>
      <w:numPr>
        <w:ilvl w:val="1"/>
        <w:numId w:val="12"/>
      </w:numPr>
    </w:pPr>
    <w:rPr>
      <w:rFonts w:ascii="宋体"/>
      <w:sz w:val="21"/>
      <w:lang w:val="en-US" w:eastAsia="zh-CN" w:bidi="ar-SA"/>
    </w:rPr>
  </w:style>
  <w:style w:type="paragraph" w:customStyle="1" w:styleId="102">
    <w:name w:val="附录四级条标题"/>
    <w:basedOn w:val="99"/>
    <w:next w:val="24"/>
    <w:uiPriority w:val="0"/>
    <w:pPr>
      <w:numPr>
        <w:ilvl w:val="5"/>
        <w:numId w:val="10"/>
      </w:numPr>
      <w:outlineLvl w:val="5"/>
    </w:pPr>
  </w:style>
  <w:style w:type="paragraph" w:customStyle="1" w:styleId="103">
    <w:name w:val="附录四级无"/>
    <w:basedOn w:val="102"/>
    <w:uiPriority w:val="0"/>
    <w:pPr>
      <w:tabs>
        <w:tab w:val="clear" w:pos="360"/>
      </w:tabs>
      <w:spacing w:before="0" w:beforeLines="0" w:after="0" w:afterLines="0"/>
    </w:pPr>
    <w:rPr>
      <w:rFonts w:ascii="宋体" w:eastAsia="宋体"/>
      <w:szCs w:val="21"/>
    </w:rPr>
  </w:style>
  <w:style w:type="paragraph" w:customStyle="1" w:styleId="104">
    <w:name w:val="附录图标号"/>
    <w:basedOn w:val="1"/>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5">
    <w:name w:val="附录图标题"/>
    <w:basedOn w:val="1"/>
    <w:next w:val="24"/>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106">
    <w:name w:val="附录五级条标题"/>
    <w:basedOn w:val="102"/>
    <w:next w:val="24"/>
    <w:uiPriority w:val="0"/>
    <w:pPr>
      <w:numPr>
        <w:ilvl w:val="6"/>
        <w:numId w:val="10"/>
      </w:numPr>
      <w:outlineLvl w:val="6"/>
    </w:pPr>
  </w:style>
  <w:style w:type="paragraph" w:customStyle="1" w:styleId="107">
    <w:name w:val="附录五级无"/>
    <w:basedOn w:val="106"/>
    <w:uiPriority w:val="0"/>
    <w:pPr>
      <w:tabs>
        <w:tab w:val="clear" w:pos="360"/>
      </w:tabs>
      <w:spacing w:before="0" w:beforeLines="0" w:after="0" w:afterLines="0"/>
    </w:pPr>
    <w:rPr>
      <w:rFonts w:ascii="宋体" w:eastAsia="宋体"/>
      <w:szCs w:val="21"/>
    </w:rPr>
  </w:style>
  <w:style w:type="paragraph" w:customStyle="1" w:styleId="108">
    <w:name w:val="附录章标题"/>
    <w:next w:val="24"/>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109">
    <w:name w:val="附录一级条标题"/>
    <w:basedOn w:val="108"/>
    <w:next w:val="24"/>
    <w:uiPriority w:val="0"/>
    <w:pPr>
      <w:numPr>
        <w:ilvl w:val="2"/>
        <w:numId w:val="10"/>
      </w:numPr>
      <w:autoSpaceDN w:val="0"/>
      <w:spacing w:before="50" w:beforeLines="50" w:after="50" w:afterLines="50"/>
      <w:outlineLvl w:val="2"/>
    </w:pPr>
  </w:style>
  <w:style w:type="paragraph" w:customStyle="1" w:styleId="110">
    <w:name w:val="附录一级无"/>
    <w:basedOn w:val="109"/>
    <w:uiPriority w:val="0"/>
    <w:pPr>
      <w:tabs>
        <w:tab w:val="clear" w:pos="360"/>
      </w:tabs>
      <w:spacing w:before="0" w:beforeLines="0" w:after="0" w:afterLines="0"/>
    </w:pPr>
    <w:rPr>
      <w:rFonts w:ascii="宋体" w:eastAsia="宋体"/>
      <w:szCs w:val="21"/>
    </w:rPr>
  </w:style>
  <w:style w:type="paragraph" w:customStyle="1" w:styleId="111">
    <w:name w:val="附录字母编号列项（一级）"/>
    <w:qFormat/>
    <w:uiPriority w:val="0"/>
    <w:pPr>
      <w:numPr>
        <w:ilvl w:val="0"/>
        <w:numId w:val="12"/>
      </w:numPr>
    </w:pPr>
    <w:rPr>
      <w:rFonts w:ascii="宋体"/>
      <w:sz w:val="21"/>
      <w:lang w:val="en-US" w:eastAsia="zh-CN" w:bidi="ar-SA"/>
    </w:rPr>
  </w:style>
  <w:style w:type="paragraph" w:customStyle="1" w:styleId="112">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3">
    <w:name w:val="列项说明数字编号"/>
    <w:uiPriority w:val="0"/>
    <w:pPr>
      <w:ind w:left="600" w:leftChars="400" w:hanging="200" w:hangingChars="200"/>
    </w:pPr>
    <w:rPr>
      <w:rFonts w:ascii="宋体"/>
      <w:sz w:val="21"/>
      <w:lang w:val="en-US" w:eastAsia="zh-CN" w:bidi="ar-SA"/>
    </w:rPr>
  </w:style>
  <w:style w:type="paragraph" w:customStyle="1" w:styleId="114">
    <w:name w:val="目次、索引正文"/>
    <w:uiPriority w:val="0"/>
    <w:pPr>
      <w:spacing w:line="320" w:lineRule="exact"/>
      <w:jc w:val="both"/>
    </w:pPr>
    <w:rPr>
      <w:rFonts w:ascii="宋体"/>
      <w:sz w:val="21"/>
      <w:lang w:val="en-US" w:eastAsia="zh-CN" w:bidi="ar-SA"/>
    </w:rPr>
  </w:style>
  <w:style w:type="paragraph" w:customStyle="1" w:styleId="115">
    <w:name w:val="其他标准标志"/>
    <w:basedOn w:val="72"/>
    <w:uiPriority w:val="0"/>
    <w:pPr>
      <w:framePr w:w="6101" w:vAnchor="page" w:hAnchor="page" w:x="4673" w:y="942"/>
    </w:pPr>
    <w:rPr>
      <w:w w:val="130"/>
    </w:rPr>
  </w:style>
  <w:style w:type="paragraph" w:customStyle="1" w:styleId="116">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117">
    <w:name w:val="其他发布部门"/>
    <w:basedOn w:val="80"/>
    <w:uiPriority w:val="0"/>
    <w:pPr>
      <w:framePr w:y="15310"/>
      <w:spacing w:line="0" w:lineRule="atLeast"/>
    </w:pPr>
    <w:rPr>
      <w:rFonts w:ascii="黑体" w:eastAsia="黑体"/>
      <w:b w:val="0"/>
    </w:rPr>
  </w:style>
  <w:style w:type="paragraph" w:customStyle="1" w:styleId="118">
    <w:name w:val="前言、引言标题"/>
    <w:next w:val="24"/>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119">
    <w:name w:val="三级无"/>
    <w:basedOn w:val="57"/>
    <w:uiPriority w:val="0"/>
    <w:pPr>
      <w:spacing w:before="0" w:beforeLines="0" w:after="0" w:afterLines="0"/>
    </w:pPr>
    <w:rPr>
      <w:rFonts w:ascii="宋体" w:eastAsia="宋体"/>
    </w:rPr>
  </w:style>
  <w:style w:type="paragraph" w:customStyle="1" w:styleId="120">
    <w:name w:val="实施日期"/>
    <w:basedOn w:val="81"/>
    <w:uiPriority w:val="0"/>
    <w:pPr>
      <w:framePr w:vAnchor="page" w:hAnchor="page"/>
      <w:jc w:val="right"/>
    </w:pPr>
  </w:style>
  <w:style w:type="paragraph" w:customStyle="1" w:styleId="121">
    <w:name w:val="示例后文字"/>
    <w:basedOn w:val="24"/>
    <w:next w:val="24"/>
    <w:qFormat/>
    <w:uiPriority w:val="0"/>
    <w:pPr>
      <w:ind w:firstLine="360"/>
    </w:pPr>
    <w:rPr>
      <w:sz w:val="18"/>
    </w:rPr>
  </w:style>
  <w:style w:type="paragraph" w:customStyle="1" w:styleId="122">
    <w:name w:val="首示例"/>
    <w:next w:val="24"/>
    <w:link w:val="123"/>
    <w:qFormat/>
    <w:uiPriority w:val="0"/>
    <w:pPr>
      <w:numPr>
        <w:ilvl w:val="0"/>
        <w:numId w:val="14"/>
      </w:numPr>
      <w:tabs>
        <w:tab w:val="left" w:pos="360"/>
      </w:tabs>
      <w:ind w:firstLine="0"/>
    </w:pPr>
    <w:rPr>
      <w:rFonts w:ascii="宋体" w:hAnsi="宋体"/>
      <w:kern w:val="2"/>
      <w:sz w:val="18"/>
      <w:szCs w:val="18"/>
      <w:lang w:val="en-US" w:eastAsia="zh-CN" w:bidi="ar-SA"/>
    </w:rPr>
  </w:style>
  <w:style w:type="character" w:customStyle="1" w:styleId="123">
    <w:name w:val="首示例 Char"/>
    <w:link w:val="122"/>
    <w:uiPriority w:val="0"/>
    <w:rPr>
      <w:rFonts w:ascii="宋体" w:hAnsi="宋体"/>
      <w:kern w:val="2"/>
      <w:sz w:val="18"/>
      <w:szCs w:val="18"/>
      <w:lang w:val="en-US" w:eastAsia="zh-CN" w:bidi="ar-SA"/>
    </w:rPr>
  </w:style>
  <w:style w:type="paragraph" w:customStyle="1" w:styleId="124">
    <w:name w:val="四级无"/>
    <w:basedOn w:val="61"/>
    <w:uiPriority w:val="0"/>
    <w:pPr>
      <w:spacing w:before="0" w:beforeLines="0" w:after="0" w:afterLines="0"/>
    </w:pPr>
    <w:rPr>
      <w:rFonts w:ascii="宋体" w:eastAsia="宋体"/>
    </w:rPr>
  </w:style>
  <w:style w:type="paragraph" w:customStyle="1" w:styleId="125">
    <w:name w:val="条文脚注"/>
    <w:basedOn w:val="25"/>
    <w:uiPriority w:val="0"/>
    <w:pPr>
      <w:numPr>
        <w:ilvl w:val="0"/>
        <w:numId w:val="0"/>
      </w:numPr>
      <w:tabs>
        <w:tab w:val="clear" w:pos="0"/>
      </w:tabs>
      <w:jc w:val="both"/>
    </w:pPr>
    <w:rPr>
      <w:rFonts w:ascii="宋体"/>
    </w:rPr>
  </w:style>
  <w:style w:type="paragraph" w:customStyle="1" w:styleId="126">
    <w:name w:val="图标脚注说明"/>
    <w:basedOn w:val="24"/>
    <w:uiPriority w:val="0"/>
    <w:pPr>
      <w:ind w:left="840" w:hanging="420" w:firstLineChars="0"/>
    </w:pPr>
    <w:rPr>
      <w:sz w:val="18"/>
      <w:szCs w:val="18"/>
    </w:rPr>
  </w:style>
  <w:style w:type="paragraph" w:customStyle="1" w:styleId="127">
    <w:name w:val="图表脚注说明"/>
    <w:basedOn w:val="1"/>
    <w:uiPriority w:val="0"/>
    <w:pPr>
      <w:numPr>
        <w:ilvl w:val="0"/>
        <w:numId w:val="15"/>
      </w:numPr>
    </w:pPr>
    <w:rPr>
      <w:rFonts w:ascii="宋体"/>
      <w:sz w:val="18"/>
      <w:szCs w:val="18"/>
    </w:rPr>
  </w:style>
  <w:style w:type="paragraph" w:customStyle="1" w:styleId="128">
    <w:name w:val="图的脚注"/>
    <w:next w:val="24"/>
    <w:qFormat/>
    <w:uiPriority w:val="0"/>
    <w:pPr>
      <w:widowControl w:val="0"/>
      <w:ind w:left="840" w:leftChars="200" w:hanging="420" w:hangingChars="200"/>
      <w:jc w:val="both"/>
    </w:pPr>
    <w:rPr>
      <w:rFonts w:ascii="宋体"/>
      <w:sz w:val="18"/>
      <w:lang w:val="en-US" w:eastAsia="zh-CN" w:bidi="ar-SA"/>
    </w:rPr>
  </w:style>
  <w:style w:type="paragraph" w:customStyle="1" w:styleId="129">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130">
    <w:name w:val="五级无"/>
    <w:basedOn w:val="62"/>
    <w:uiPriority w:val="0"/>
    <w:pPr>
      <w:spacing w:before="0" w:beforeLines="0" w:after="0" w:afterLines="0"/>
    </w:pPr>
    <w:rPr>
      <w:rFonts w:ascii="宋体" w:eastAsia="宋体"/>
    </w:rPr>
  </w:style>
  <w:style w:type="paragraph" w:customStyle="1" w:styleId="131">
    <w:name w:val="一级无"/>
    <w:basedOn w:val="48"/>
    <w:uiPriority w:val="0"/>
    <w:pPr>
      <w:spacing w:before="0" w:beforeLines="0" w:after="0" w:afterLines="0"/>
    </w:pPr>
    <w:rPr>
      <w:rFonts w:ascii="宋体" w:eastAsia="宋体"/>
    </w:rPr>
  </w:style>
  <w:style w:type="paragraph" w:customStyle="1" w:styleId="132">
    <w:name w:val="正文表标题"/>
    <w:next w:val="24"/>
    <w:uiPriority w:val="0"/>
    <w:pPr>
      <w:numPr>
        <w:ilvl w:val="0"/>
        <w:numId w:val="16"/>
      </w:numPr>
      <w:tabs>
        <w:tab w:val="left" w:pos="360"/>
      </w:tabs>
      <w:spacing w:before="156" w:beforeLines="50" w:after="156" w:afterLines="50"/>
      <w:jc w:val="center"/>
    </w:pPr>
    <w:rPr>
      <w:rFonts w:ascii="黑体" w:eastAsia="黑体"/>
      <w:sz w:val="21"/>
      <w:lang w:val="en-US" w:eastAsia="zh-CN" w:bidi="ar-SA"/>
    </w:rPr>
  </w:style>
  <w:style w:type="paragraph" w:customStyle="1" w:styleId="133">
    <w:name w:val="正文公式编号制表符"/>
    <w:basedOn w:val="24"/>
    <w:next w:val="24"/>
    <w:qFormat/>
    <w:uiPriority w:val="0"/>
    <w:pPr>
      <w:ind w:firstLine="0" w:firstLineChars="0"/>
    </w:pPr>
  </w:style>
  <w:style w:type="paragraph" w:customStyle="1" w:styleId="134">
    <w:name w:val="正文图标题"/>
    <w:next w:val="24"/>
    <w:uiPriority w:val="0"/>
    <w:pPr>
      <w:numPr>
        <w:ilvl w:val="0"/>
        <w:numId w:val="17"/>
      </w:numPr>
      <w:tabs>
        <w:tab w:val="left" w:pos="360"/>
      </w:tabs>
      <w:spacing w:before="156" w:beforeLines="50" w:after="156" w:afterLines="50"/>
      <w:jc w:val="center"/>
    </w:pPr>
    <w:rPr>
      <w:rFonts w:ascii="黑体" w:eastAsia="黑体"/>
      <w:sz w:val="21"/>
      <w:lang w:val="en-US" w:eastAsia="zh-CN" w:bidi="ar-SA"/>
    </w:rPr>
  </w:style>
  <w:style w:type="paragraph" w:customStyle="1" w:styleId="135">
    <w:name w:val="终结线"/>
    <w:basedOn w:val="1"/>
    <w:uiPriority w:val="0"/>
    <w:pPr>
      <w:framePr w:hSpace="181" w:vSpace="181" w:wrap="around" w:vAnchor="text" w:hAnchor="margin" w:xAlign="center" w:y="285"/>
    </w:pPr>
  </w:style>
  <w:style w:type="paragraph" w:customStyle="1" w:styleId="136">
    <w:name w:val="其他发布日期"/>
    <w:basedOn w:val="81"/>
    <w:uiPriority w:val="0"/>
    <w:pPr>
      <w:framePr w:vAnchor="page" w:hAnchor="page" w:x="1419"/>
    </w:pPr>
  </w:style>
  <w:style w:type="paragraph" w:customStyle="1" w:styleId="137">
    <w:name w:val="其他实施日期"/>
    <w:basedOn w:val="120"/>
    <w:uiPriority w:val="0"/>
  </w:style>
  <w:style w:type="paragraph" w:customStyle="1" w:styleId="138">
    <w:name w:val="封面标准名称2"/>
    <w:basedOn w:val="84"/>
    <w:uiPriority w:val="0"/>
    <w:pPr>
      <w:framePr w:y="4469"/>
      <w:spacing w:before="630" w:beforeLines="630"/>
    </w:pPr>
  </w:style>
  <w:style w:type="paragraph" w:customStyle="1" w:styleId="139">
    <w:name w:val="封面标准英文名称2"/>
    <w:basedOn w:val="85"/>
    <w:uiPriority w:val="0"/>
    <w:pPr>
      <w:framePr w:y="4469"/>
    </w:pPr>
  </w:style>
  <w:style w:type="paragraph" w:customStyle="1" w:styleId="140">
    <w:name w:val="封面一致性程度标识2"/>
    <w:basedOn w:val="86"/>
    <w:uiPriority w:val="0"/>
    <w:pPr>
      <w:framePr w:y="4469"/>
    </w:pPr>
  </w:style>
  <w:style w:type="paragraph" w:customStyle="1" w:styleId="141">
    <w:name w:val="封面标准文稿类别2"/>
    <w:basedOn w:val="87"/>
    <w:uiPriority w:val="0"/>
    <w:pPr>
      <w:framePr w:y="4469"/>
    </w:pPr>
  </w:style>
  <w:style w:type="paragraph" w:customStyle="1" w:styleId="142">
    <w:name w:val="封面标准文稿编辑信息2"/>
    <w:basedOn w:val="88"/>
    <w:uiPriority w:val="0"/>
    <w:pPr>
      <w:framePr w:y="4469"/>
    </w:pPr>
  </w:style>
  <w:style w:type="paragraph" w:styleId="143">
    <w:name w:val="List Paragraph"/>
    <w:basedOn w:val="1"/>
    <w:qFormat/>
    <w:uiPriority w:val="34"/>
    <w:pPr>
      <w:ind w:firstLine="420" w:firstLineChars="200"/>
    </w:pPr>
    <w:rPr>
      <w:rFonts w:ascii="Calibri" w:hAnsi="Calibri"/>
      <w:szCs w:val="22"/>
    </w:rPr>
  </w:style>
  <w:style w:type="paragraph" w:customStyle="1" w:styleId="144">
    <w:name w:val="Table Paragraph"/>
    <w:basedOn w:val="1"/>
    <w:qFormat/>
    <w:uiPriority w:val="1"/>
    <w:rPr>
      <w:rFonts w:ascii="宋体" w:hAnsi="宋体" w:cs="宋体"/>
      <w:lang w:val="ca-ES" w:eastAsia="ca-ES" w:bidi="ca-E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234;&#33021;&#23478;&#20855;&#26631;&#20934;\&#38468;&#20214;1&#12298;&#26234;&#33021;&#23478;&#20855;&#36890;&#29992;&#25216;&#26415;&#35201;&#27714;&#12299;&#22269;&#23478;&#26631;&#20934;&#65288;&#24449;&#27714;&#24847;&#35265;&#31295;&#65289;-20221205&#2591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附件1《智能家具通用技术要求》国家标准（征求意见稿）-20221205改.dot</Template>
  <Pages>13</Pages>
  <Words>5534</Words>
  <Characters>6769</Characters>
  <Lines>55</Lines>
  <Paragraphs>15</Paragraphs>
  <TotalTime>2</TotalTime>
  <ScaleCrop>false</ScaleCrop>
  <LinksUpToDate>false</LinksUpToDate>
  <CharactersWithSpaces>6966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2022-12-08T03:43:00Z</dcterms:created>
  <dcterms:modified xsi:type="dcterms:W3CDTF">2022-12-08T05:43:33Z</dcterms:modified>
  <dc:title>标准名称</dc:title>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8586E9A14ED84F669E387F942E08F6DD</vt:lpwstr>
  </property>
</Properties>
</file>